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36" w:type="dxa"/>
        <w:tblInd w:w="6" w:type="dxa"/>
        <w:tblLayout w:type="fixed"/>
        <w:tblCellMar>
          <w:left w:w="10" w:type="dxa"/>
          <w:right w:w="10" w:type="dxa"/>
        </w:tblCellMar>
        <w:tblLook w:val="0000" w:firstRow="0" w:lastRow="0" w:firstColumn="0" w:lastColumn="0" w:noHBand="0" w:noVBand="0"/>
      </w:tblPr>
      <w:tblGrid>
        <w:gridCol w:w="5440"/>
        <w:gridCol w:w="4198"/>
        <w:gridCol w:w="4198"/>
      </w:tblGrid>
      <w:tr w:rsidR="00442AA5" w14:paraId="73594B2E" w14:textId="77777777">
        <w:tblPrEx>
          <w:tblCellMar>
            <w:top w:w="0" w:type="dxa"/>
            <w:bottom w:w="0" w:type="dxa"/>
          </w:tblCellMar>
        </w:tblPrEx>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BEBF73" w14:textId="77777777" w:rsidR="00442AA5" w:rsidRDefault="00FA0E01">
            <w:pPr>
              <w:pStyle w:val="stbilgi1"/>
              <w:pBdr>
                <w:bottom w:val="single" w:sz="4" w:space="1" w:color="000000"/>
              </w:pBdr>
              <w:tabs>
                <w:tab w:val="right" w:pos="9356"/>
              </w:tabs>
              <w:rPr>
                <w:rFonts w:eastAsia="NSimSun" w:cs="Lucida Sans"/>
                <w:color w:val="201F1E"/>
                <w:kern w:val="3"/>
                <w:sz w:val="22"/>
                <w:szCs w:val="22"/>
                <w:lang w:val="tr-TR" w:eastAsia="zh-CN" w:bidi="hi-IN"/>
              </w:rPr>
            </w:pPr>
            <w:r>
              <w:rPr>
                <w:rFonts w:eastAsia="NSimSun" w:cs="Lucida Sans"/>
                <w:color w:val="201F1E"/>
                <w:kern w:val="3"/>
                <w:sz w:val="22"/>
                <w:szCs w:val="22"/>
                <w:lang w:val="tr-TR" w:eastAsia="zh-CN" w:bidi="hi-IN"/>
              </w:rPr>
              <w:t xml:space="preserve">FRIT II Fonu Bünyesinde </w:t>
            </w:r>
            <w:proofErr w:type="spellStart"/>
            <w:r>
              <w:rPr>
                <w:rFonts w:eastAsia="NSimSun" w:cs="Lucida Sans"/>
                <w:color w:val="201F1E"/>
                <w:kern w:val="3"/>
                <w:sz w:val="22"/>
                <w:szCs w:val="22"/>
                <w:lang w:val="tr-TR" w:eastAsia="zh-CN" w:bidi="hi-IN"/>
              </w:rPr>
              <w:t>KfW</w:t>
            </w:r>
            <w:proofErr w:type="spellEnd"/>
            <w:r>
              <w:rPr>
                <w:rFonts w:eastAsia="NSimSun" w:cs="Lucida Sans"/>
                <w:color w:val="201F1E"/>
                <w:kern w:val="3"/>
                <w:sz w:val="22"/>
                <w:szCs w:val="22"/>
                <w:lang w:val="tr-TR" w:eastAsia="zh-CN" w:bidi="hi-IN"/>
              </w:rPr>
              <w:t xml:space="preserve"> Yürütücülüğü İle Kriz Zamanında Herkes İçin Eğitim III Projesi Çerçevesinde GKAS (Geçici Koruma Altındaki Suriyeliler) Eğitim Alt Yapısını Desteklemek Amacıyla 19 İlde Yapılacak Eğitim Binaları </w:t>
            </w:r>
            <w:r>
              <w:rPr>
                <w:rFonts w:eastAsia="NSimSun" w:cs="Lucida Sans"/>
                <w:color w:val="201F1E"/>
                <w:kern w:val="3"/>
                <w:sz w:val="22"/>
                <w:szCs w:val="22"/>
                <w:lang w:val="tr-TR" w:eastAsia="zh-CN" w:bidi="hi-IN"/>
              </w:rPr>
              <w:t xml:space="preserve">(Anaokulları) İnşaat Kontrolörlük </w:t>
            </w:r>
            <w:proofErr w:type="gramStart"/>
            <w:r>
              <w:rPr>
                <w:rFonts w:eastAsia="NSimSun" w:cs="Lucida Sans"/>
                <w:color w:val="201F1E"/>
                <w:kern w:val="3"/>
                <w:sz w:val="22"/>
                <w:szCs w:val="22"/>
                <w:lang w:val="tr-TR" w:eastAsia="zh-CN" w:bidi="hi-IN"/>
              </w:rPr>
              <w:t>ve  Teknik</w:t>
            </w:r>
            <w:proofErr w:type="gramEnd"/>
            <w:r>
              <w:rPr>
                <w:rFonts w:eastAsia="NSimSun" w:cs="Lucida Sans"/>
                <w:color w:val="201F1E"/>
                <w:kern w:val="3"/>
                <w:sz w:val="22"/>
                <w:szCs w:val="22"/>
                <w:lang w:val="tr-TR" w:eastAsia="zh-CN" w:bidi="hi-IN"/>
              </w:rPr>
              <w:t xml:space="preserve"> Danışmanlık Hizmeti İşine İlişkin Ön Yeterlik Şartnamesi Bölüm I – Genel Hükümler Madde 2.5.1 gereğince Başvuru Sahipleri tarafından sorulan sorular ve İdarenin cevapları</w:t>
            </w:r>
          </w:p>
          <w:p w14:paraId="5EC3419E" w14:textId="77777777" w:rsidR="00442AA5" w:rsidRDefault="00442AA5">
            <w:pPr>
              <w:pStyle w:val="TableContents"/>
              <w:rPr>
                <w:rFonts w:hint="eastAsia"/>
                <w:b/>
                <w:bCs/>
              </w:rPr>
            </w:pPr>
          </w:p>
        </w:tc>
        <w:tc>
          <w:tcPr>
            <w:tcW w:w="4198" w:type="dxa"/>
            <w:shd w:val="clear" w:color="auto" w:fill="auto"/>
            <w:tcMar>
              <w:top w:w="0" w:type="dxa"/>
              <w:left w:w="10" w:type="dxa"/>
              <w:bottom w:w="0" w:type="dxa"/>
              <w:right w:w="10" w:type="dxa"/>
            </w:tcMar>
          </w:tcPr>
          <w:p w14:paraId="03B93600" w14:textId="77777777" w:rsidR="00442AA5" w:rsidRDefault="00442AA5">
            <w:pPr>
              <w:pStyle w:val="TableContents"/>
              <w:rPr>
                <w:rFonts w:hint="eastAsia"/>
                <w:b/>
                <w:bCs/>
              </w:rPr>
            </w:pPr>
          </w:p>
        </w:tc>
      </w:tr>
      <w:tr w:rsidR="00442AA5" w14:paraId="480E1216" w14:textId="77777777">
        <w:tblPrEx>
          <w:tblCellMar>
            <w:top w:w="0" w:type="dxa"/>
            <w:bottom w:w="0" w:type="dxa"/>
          </w:tblCellMar>
        </w:tblPrEx>
        <w:tc>
          <w:tcPr>
            <w:tcW w:w="5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A611DB" w14:textId="77777777" w:rsidR="00442AA5" w:rsidRDefault="00FA0E01">
            <w:pPr>
              <w:pStyle w:val="TableContents"/>
              <w:rPr>
                <w:rFonts w:ascii="Times New Roman" w:hAnsi="Times New Roman"/>
                <w:b/>
                <w:bCs/>
                <w:sz w:val="22"/>
                <w:szCs w:val="22"/>
              </w:rPr>
            </w:pPr>
            <w:r>
              <w:rPr>
                <w:rFonts w:ascii="Times New Roman" w:hAnsi="Times New Roman"/>
                <w:b/>
                <w:bCs/>
                <w:sz w:val="22"/>
                <w:szCs w:val="22"/>
              </w:rPr>
              <w:t>SORULAR</w:t>
            </w:r>
          </w:p>
        </w:tc>
        <w:tc>
          <w:tcPr>
            <w:tcW w:w="41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07D8FF" w14:textId="77777777" w:rsidR="00442AA5" w:rsidRDefault="00FA0E01">
            <w:pPr>
              <w:pStyle w:val="TableContents"/>
              <w:rPr>
                <w:rFonts w:hint="eastAsia"/>
                <w:b/>
                <w:bCs/>
              </w:rPr>
            </w:pPr>
            <w:r>
              <w:rPr>
                <w:b/>
                <w:bCs/>
              </w:rPr>
              <w:t>CEVAPLAR</w:t>
            </w:r>
          </w:p>
        </w:tc>
        <w:tc>
          <w:tcPr>
            <w:tcW w:w="4198" w:type="dxa"/>
            <w:shd w:val="clear" w:color="auto" w:fill="auto"/>
            <w:tcMar>
              <w:top w:w="0" w:type="dxa"/>
              <w:left w:w="10" w:type="dxa"/>
              <w:bottom w:w="0" w:type="dxa"/>
              <w:right w:w="10" w:type="dxa"/>
            </w:tcMar>
          </w:tcPr>
          <w:p w14:paraId="291C91B2" w14:textId="77777777" w:rsidR="00442AA5" w:rsidRDefault="00442AA5">
            <w:pPr>
              <w:pStyle w:val="TableContents"/>
              <w:rPr>
                <w:rFonts w:hint="eastAsia"/>
                <w:b/>
                <w:bCs/>
              </w:rPr>
            </w:pPr>
          </w:p>
        </w:tc>
      </w:tr>
      <w:tr w:rsidR="00442AA5" w14:paraId="670E0B71"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5ED8A737" w14:textId="77777777" w:rsidR="00442AA5" w:rsidRDefault="00FA0E01">
            <w:pPr>
              <w:pStyle w:val="TableContents"/>
              <w:rPr>
                <w:rFonts w:hint="eastAsia"/>
              </w:rPr>
            </w:pPr>
            <w:r>
              <w:rPr>
                <w:rFonts w:ascii="Times New Roman" w:hAnsi="Times New Roman"/>
                <w:color w:val="201F1E"/>
                <w:sz w:val="22"/>
                <w:szCs w:val="22"/>
              </w:rPr>
              <w:t xml:space="preserve">Söz konusu </w:t>
            </w:r>
            <w:r>
              <w:rPr>
                <w:rFonts w:ascii="Times New Roman" w:hAnsi="Times New Roman"/>
                <w:color w:val="201F1E"/>
                <w:sz w:val="22"/>
                <w:szCs w:val="22"/>
              </w:rPr>
              <w:t xml:space="preserve">Projenin Ön Yeterlik Şartnamesi, Bölüm – 1 Genel Hükümler Madde 2.2.1 (c) Başvurunun Sunulması bendinde, 10 sayfalık bir sayfa sınırı belirlenmiştir. Bu sayfa sınırının, başvuru sahibi şirket/ortak girişim tanıtım dokümanı için belirlendiğini, Ön Yeterlik </w:t>
            </w:r>
            <w:r>
              <w:rPr>
                <w:rFonts w:ascii="Times New Roman" w:hAnsi="Times New Roman"/>
                <w:color w:val="201F1E"/>
                <w:sz w:val="22"/>
                <w:szCs w:val="22"/>
              </w:rPr>
              <w:t>Başvuru dosyası ile ilgili herhangi bir sayfa sınırlaması bulunmadığını anlıyoruz. Lütfen teyit ediniz.  </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93BEED" w14:textId="77777777" w:rsidR="00442AA5" w:rsidRDefault="00FA0E01">
            <w:pPr>
              <w:pStyle w:val="DEStandardL3"/>
              <w:spacing w:before="0"/>
              <w:outlineLvl w:val="9"/>
            </w:pPr>
            <w:r>
              <w:rPr>
                <w:rStyle w:val="VarsaylanParagrafYazTipi1"/>
                <w:rFonts w:ascii="Times New Roman" w:hAnsi="Times New Roman"/>
                <w:color w:val="201F1E"/>
                <w:sz w:val="22"/>
                <w:szCs w:val="22"/>
              </w:rPr>
              <w:t>Ön Yeterlik Şartnamesi, Bölüm – 1 Genel Hükümler Madde 2.2.1 (c) Başvurunun Sunulması bendinde “</w:t>
            </w:r>
            <w:r>
              <w:rPr>
                <w:rStyle w:val="VarsaylanParagrafYazTipi1"/>
                <w:rFonts w:ascii="Times New Roman" w:hAnsi="Times New Roman"/>
                <w:i/>
                <w:iCs/>
                <w:color w:val="201F1E"/>
                <w:sz w:val="22"/>
                <w:szCs w:val="22"/>
              </w:rPr>
              <w:t xml:space="preserve">(en fazla 10 sayfa, broşürsüz olarak) Başvuru </w:t>
            </w:r>
            <w:r>
              <w:rPr>
                <w:rStyle w:val="VarsaylanParagrafYazTipi1"/>
                <w:rFonts w:ascii="Times New Roman" w:hAnsi="Times New Roman"/>
                <w:i/>
                <w:iCs/>
                <w:color w:val="201F1E"/>
                <w:sz w:val="22"/>
                <w:szCs w:val="22"/>
              </w:rPr>
              <w:t xml:space="preserve">Sahibi tek bir kuruluş ise, sunumda Başvuru Sahibinin şirket türü, mülkiyet yapısı ve organizasyon şeması ve ayrıca projede uygulanacak ana faaliyet alanları açıklanacaktır. Başvuru Sahibi bir OG ise, sunumda bu bilgiler her bir OG üyesi için sunulacak ve </w:t>
            </w:r>
            <w:r>
              <w:rPr>
                <w:rStyle w:val="VarsaylanParagrafYazTipi1"/>
                <w:rFonts w:ascii="Times New Roman" w:hAnsi="Times New Roman"/>
                <w:i/>
                <w:iCs/>
                <w:color w:val="201F1E"/>
                <w:sz w:val="22"/>
                <w:szCs w:val="22"/>
              </w:rPr>
              <w:t xml:space="preserve">ayrıca OG içerisindeki üyelerin amaçladıkları </w:t>
            </w:r>
            <w:proofErr w:type="gramStart"/>
            <w:r>
              <w:rPr>
                <w:rStyle w:val="VarsaylanParagrafYazTipi1"/>
                <w:rFonts w:ascii="Times New Roman" w:hAnsi="Times New Roman"/>
                <w:i/>
                <w:iCs/>
                <w:color w:val="201F1E"/>
                <w:sz w:val="22"/>
                <w:szCs w:val="22"/>
              </w:rPr>
              <w:t>işbirliği</w:t>
            </w:r>
            <w:proofErr w:type="gramEnd"/>
            <w:r>
              <w:rPr>
                <w:rStyle w:val="VarsaylanParagrafYazTipi1"/>
                <w:rFonts w:ascii="Times New Roman" w:hAnsi="Times New Roman"/>
                <w:i/>
                <w:iCs/>
                <w:color w:val="201F1E"/>
                <w:sz w:val="22"/>
                <w:szCs w:val="22"/>
              </w:rPr>
              <w:t xml:space="preserve"> şekli tarif edilecektir.</w:t>
            </w:r>
            <w:r>
              <w:rPr>
                <w:rStyle w:val="VarsaylanParagrafYazTipi1"/>
                <w:rFonts w:ascii="Times New Roman" w:hAnsi="Times New Roman"/>
                <w:color w:val="201F1E"/>
                <w:sz w:val="22"/>
                <w:szCs w:val="22"/>
              </w:rPr>
              <w:t>” denilmekte olup; söz konusu sayfa sınırı başvuru sahibi şirket/ortak girişim tanıtım dokümanı için geçerlidir.</w:t>
            </w:r>
          </w:p>
        </w:tc>
        <w:tc>
          <w:tcPr>
            <w:tcW w:w="4198" w:type="dxa"/>
            <w:shd w:val="clear" w:color="auto" w:fill="auto"/>
            <w:tcMar>
              <w:top w:w="0" w:type="dxa"/>
              <w:left w:w="10" w:type="dxa"/>
              <w:bottom w:w="0" w:type="dxa"/>
              <w:right w:w="10" w:type="dxa"/>
            </w:tcMar>
          </w:tcPr>
          <w:p w14:paraId="17104AB0" w14:textId="77777777" w:rsidR="00442AA5" w:rsidRDefault="00442AA5">
            <w:pPr>
              <w:pStyle w:val="DEStandardL3"/>
              <w:spacing w:before="0"/>
              <w:outlineLvl w:val="9"/>
            </w:pPr>
          </w:p>
        </w:tc>
      </w:tr>
      <w:tr w:rsidR="00442AA5" w14:paraId="4F6EA6B9"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20D9CF29" w14:textId="77777777" w:rsidR="00442AA5" w:rsidRDefault="00FA0E01">
            <w:pPr>
              <w:pStyle w:val="TableContents"/>
              <w:rPr>
                <w:rFonts w:ascii="Times New Roman" w:hAnsi="Times New Roman"/>
                <w:sz w:val="22"/>
                <w:szCs w:val="22"/>
              </w:rPr>
            </w:pPr>
            <w:r>
              <w:rPr>
                <w:rFonts w:ascii="Times New Roman" w:hAnsi="Times New Roman"/>
                <w:sz w:val="22"/>
                <w:szCs w:val="22"/>
              </w:rPr>
              <w:t>G.H. 2.1.4 Maddesine göre tüm yazışma ve belgelerin Türkçe su</w:t>
            </w:r>
            <w:r>
              <w:rPr>
                <w:rFonts w:ascii="Times New Roman" w:hAnsi="Times New Roman"/>
                <w:sz w:val="22"/>
                <w:szCs w:val="22"/>
              </w:rPr>
              <w:t>nulacağını anlıyoruz. Ön yeterlilik başvurusunun Türkçe dilinde sunulmasının yeterli olacağını teyit eder misiniz?</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ED1AF4" w14:textId="77777777" w:rsidR="00442AA5" w:rsidRDefault="00FA0E01">
            <w:pPr>
              <w:pStyle w:val="Textbody"/>
              <w:spacing w:line="240" w:lineRule="auto"/>
              <w:jc w:val="both"/>
              <w:rPr>
                <w:rFonts w:ascii="Times New Roman" w:hAnsi="Times New Roman"/>
                <w:sz w:val="22"/>
                <w:szCs w:val="22"/>
              </w:rPr>
            </w:pPr>
            <w:r>
              <w:rPr>
                <w:rFonts w:ascii="Times New Roman" w:hAnsi="Times New Roman"/>
                <w:sz w:val="22"/>
                <w:szCs w:val="22"/>
              </w:rPr>
              <w:t xml:space="preserve">Ön yeterlik başvuruları Türkçe yapılacak olup, danışman firmaların başvurularını Türkçe dışında bir dilde sunmaları halinde </w:t>
            </w:r>
            <w:r>
              <w:rPr>
                <w:rFonts w:ascii="Times New Roman" w:hAnsi="Times New Roman"/>
                <w:sz w:val="22"/>
                <w:szCs w:val="22"/>
              </w:rPr>
              <w:t>başvuruyla ilgili tüm belgeleri Türkçe tercümeleri ile birlikte sunmaları gerekmektedir. Tercümelerin Noter Tasdiki gerekli değildir.</w:t>
            </w:r>
          </w:p>
        </w:tc>
        <w:tc>
          <w:tcPr>
            <w:tcW w:w="4198" w:type="dxa"/>
            <w:shd w:val="clear" w:color="auto" w:fill="auto"/>
            <w:tcMar>
              <w:top w:w="0" w:type="dxa"/>
              <w:left w:w="10" w:type="dxa"/>
              <w:bottom w:w="0" w:type="dxa"/>
              <w:right w:w="10" w:type="dxa"/>
            </w:tcMar>
          </w:tcPr>
          <w:p w14:paraId="492FF249" w14:textId="77777777" w:rsidR="00442AA5" w:rsidRDefault="00442AA5">
            <w:pPr>
              <w:pStyle w:val="Textbody"/>
              <w:spacing w:line="240" w:lineRule="auto"/>
              <w:jc w:val="both"/>
              <w:rPr>
                <w:rFonts w:ascii="Times New Roman" w:hAnsi="Times New Roman"/>
                <w:sz w:val="22"/>
                <w:szCs w:val="22"/>
              </w:rPr>
            </w:pPr>
          </w:p>
        </w:tc>
      </w:tr>
      <w:tr w:rsidR="00442AA5" w14:paraId="276D74A7"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62FED6A1" w14:textId="77777777" w:rsidR="00442AA5" w:rsidRDefault="00FA0E01">
            <w:pPr>
              <w:pStyle w:val="TableContents"/>
              <w:rPr>
                <w:rFonts w:ascii="Times New Roman" w:hAnsi="Times New Roman"/>
                <w:sz w:val="22"/>
                <w:szCs w:val="22"/>
              </w:rPr>
            </w:pPr>
            <w:r>
              <w:rPr>
                <w:rFonts w:ascii="Times New Roman" w:hAnsi="Times New Roman"/>
                <w:sz w:val="22"/>
                <w:szCs w:val="22"/>
              </w:rPr>
              <w:t xml:space="preserve">G.H. 2.1.4. Maddesinde ‘Farklı dilde sunulan </w:t>
            </w:r>
            <w:proofErr w:type="gramStart"/>
            <w:r>
              <w:rPr>
                <w:rFonts w:ascii="Times New Roman" w:hAnsi="Times New Roman"/>
                <w:sz w:val="22"/>
                <w:szCs w:val="22"/>
              </w:rPr>
              <w:t>resmi</w:t>
            </w:r>
            <w:proofErr w:type="gramEnd"/>
            <w:r>
              <w:rPr>
                <w:rFonts w:ascii="Times New Roman" w:hAnsi="Times New Roman"/>
                <w:sz w:val="22"/>
                <w:szCs w:val="22"/>
              </w:rPr>
              <w:t xml:space="preserve"> belgeler, bu belgenin diline yapılmış onaylı çevirileri ile birlikte </w:t>
            </w:r>
            <w:r>
              <w:rPr>
                <w:rFonts w:ascii="Times New Roman" w:hAnsi="Times New Roman"/>
                <w:sz w:val="22"/>
                <w:szCs w:val="22"/>
              </w:rPr>
              <w:t>sunulacaktır’ ifadesi yer almaktadır. İlgili belgeleri basit tercümeleri ile birlikte, yeminli tercüme olmadan sunabilir miyiz? Önceki yabancı fonlu/finansmanlı projelerimizde (Örneğin AB Projeleri) farklı dildeki belgelerin basit tercüme olarak sunulabild</w:t>
            </w:r>
            <w:r>
              <w:rPr>
                <w:rFonts w:ascii="Times New Roman" w:hAnsi="Times New Roman"/>
                <w:sz w:val="22"/>
                <w:szCs w:val="22"/>
              </w:rPr>
              <w:t>iğini hatırlatmak isteriz.</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7CCD01" w14:textId="77777777" w:rsidR="00442AA5" w:rsidRDefault="00FA0E01">
            <w:pPr>
              <w:pStyle w:val="Textbody"/>
              <w:spacing w:line="240" w:lineRule="auto"/>
              <w:jc w:val="both"/>
              <w:rPr>
                <w:rFonts w:ascii="Times New Roman" w:hAnsi="Times New Roman"/>
                <w:sz w:val="22"/>
                <w:szCs w:val="22"/>
              </w:rPr>
            </w:pPr>
            <w:r>
              <w:rPr>
                <w:rFonts w:ascii="Times New Roman" w:hAnsi="Times New Roman"/>
                <w:sz w:val="22"/>
                <w:szCs w:val="22"/>
              </w:rPr>
              <w:t>Ön yeterlik başvuruları Türkçe yapılacak olup, danışman firmaların başvurularını Türkçe dışında bir dilde sunmaları halinde başvuruyla ilgili tüm belgeleri Türkçe tercümeleri ile birlikte sunmaları gerekmektedir. Tercümelerin Not</w:t>
            </w:r>
            <w:r>
              <w:rPr>
                <w:rFonts w:ascii="Times New Roman" w:hAnsi="Times New Roman"/>
                <w:sz w:val="22"/>
                <w:szCs w:val="22"/>
              </w:rPr>
              <w:t>er Tasdiki gerekli değildir.</w:t>
            </w:r>
          </w:p>
        </w:tc>
        <w:tc>
          <w:tcPr>
            <w:tcW w:w="4198" w:type="dxa"/>
            <w:shd w:val="clear" w:color="auto" w:fill="auto"/>
            <w:tcMar>
              <w:top w:w="0" w:type="dxa"/>
              <w:left w:w="10" w:type="dxa"/>
              <w:bottom w:w="0" w:type="dxa"/>
              <w:right w:w="10" w:type="dxa"/>
            </w:tcMar>
          </w:tcPr>
          <w:p w14:paraId="7FD19C7D" w14:textId="77777777" w:rsidR="00442AA5" w:rsidRDefault="00442AA5">
            <w:pPr>
              <w:pStyle w:val="Textbody"/>
              <w:spacing w:line="240" w:lineRule="auto"/>
              <w:jc w:val="both"/>
              <w:rPr>
                <w:rFonts w:ascii="Times New Roman" w:hAnsi="Times New Roman"/>
                <w:sz w:val="22"/>
                <w:szCs w:val="22"/>
              </w:rPr>
            </w:pPr>
          </w:p>
        </w:tc>
      </w:tr>
      <w:tr w:rsidR="00442AA5" w14:paraId="4F91E15B"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2D20ED48" w14:textId="77777777" w:rsidR="00442AA5" w:rsidRDefault="00FA0E01">
            <w:pPr>
              <w:pStyle w:val="TableContents"/>
              <w:rPr>
                <w:rFonts w:ascii="Times New Roman" w:hAnsi="Times New Roman"/>
                <w:sz w:val="22"/>
                <w:szCs w:val="22"/>
              </w:rPr>
            </w:pPr>
            <w:r>
              <w:rPr>
                <w:rFonts w:ascii="Times New Roman" w:hAnsi="Times New Roman"/>
                <w:sz w:val="22"/>
                <w:szCs w:val="22"/>
              </w:rPr>
              <w:t>İş bitirme belgeleri ve ciro gibi finansal değerlerin yabancı para birimi üzerinden düzenlenmiş olması durumunda Türk Lirası’na çevirmek için dikkate almamız gereken kur, sözleşme tarihindeki mi yoksa iş bitirme tarihindeki k</w:t>
            </w:r>
            <w:r>
              <w:rPr>
                <w:rFonts w:ascii="Times New Roman" w:hAnsi="Times New Roman"/>
                <w:sz w:val="22"/>
                <w:szCs w:val="22"/>
              </w:rPr>
              <w:t>ur olarak alınmalı?</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3BA8FD" w14:textId="77777777" w:rsidR="00442AA5" w:rsidRDefault="00FA0E01">
            <w:pPr>
              <w:pStyle w:val="TableContents"/>
              <w:tabs>
                <w:tab w:val="right" w:pos="7254"/>
              </w:tabs>
              <w:spacing w:before="60" w:after="60"/>
              <w:rPr>
                <w:rFonts w:ascii="Times New Roman" w:hAnsi="Times New Roman"/>
                <w:sz w:val="22"/>
                <w:szCs w:val="22"/>
              </w:rPr>
            </w:pPr>
            <w:r>
              <w:rPr>
                <w:rFonts w:ascii="Times New Roman" w:hAnsi="Times New Roman"/>
                <w:sz w:val="22"/>
                <w:szCs w:val="22"/>
              </w:rPr>
              <w:t>İş bitirme belgeleri ve ciro gibi finansal değerlerin yabancı para birimi üzerinden düzenlenmiş olması durumunda, Başvuru sahiplerinin bu değerleri Türk Lirası’na çevirme zorunlulukları yoktur.</w:t>
            </w:r>
          </w:p>
          <w:p w14:paraId="02CED6D8" w14:textId="77777777" w:rsidR="00442AA5" w:rsidRDefault="00FA0E01">
            <w:pPr>
              <w:pStyle w:val="Standard"/>
              <w:tabs>
                <w:tab w:val="right" w:pos="7254"/>
              </w:tabs>
              <w:spacing w:before="60" w:after="60"/>
              <w:rPr>
                <w:rFonts w:ascii="Times New Roman" w:hAnsi="Times New Roman"/>
                <w:sz w:val="22"/>
                <w:szCs w:val="22"/>
              </w:rPr>
            </w:pPr>
            <w:r>
              <w:rPr>
                <w:rFonts w:ascii="Times New Roman" w:hAnsi="Times New Roman"/>
                <w:sz w:val="22"/>
                <w:szCs w:val="22"/>
              </w:rPr>
              <w:t xml:space="preserve">Değerlendirme aşamasında; komisyon </w:t>
            </w:r>
            <w:r>
              <w:rPr>
                <w:rFonts w:ascii="Times New Roman" w:hAnsi="Times New Roman"/>
                <w:sz w:val="22"/>
                <w:szCs w:val="22"/>
              </w:rPr>
              <w:t xml:space="preserve">tarafından bu </w:t>
            </w:r>
            <w:proofErr w:type="gramStart"/>
            <w:r>
              <w:rPr>
                <w:rFonts w:ascii="Times New Roman" w:hAnsi="Times New Roman"/>
                <w:sz w:val="22"/>
                <w:szCs w:val="22"/>
              </w:rPr>
              <w:t>değerler  Türk</w:t>
            </w:r>
            <w:proofErr w:type="gramEnd"/>
            <w:r>
              <w:rPr>
                <w:rFonts w:ascii="Times New Roman" w:hAnsi="Times New Roman"/>
                <w:sz w:val="22"/>
                <w:szCs w:val="22"/>
              </w:rPr>
              <w:t xml:space="preserve"> Lirası’na çevrilecektir.</w:t>
            </w:r>
          </w:p>
          <w:p w14:paraId="5414C348" w14:textId="77777777" w:rsidR="00442AA5" w:rsidRDefault="00FA0E01">
            <w:pPr>
              <w:pStyle w:val="Standard"/>
              <w:tabs>
                <w:tab w:val="right" w:pos="7254"/>
              </w:tabs>
              <w:spacing w:before="60" w:after="60"/>
              <w:rPr>
                <w:rFonts w:ascii="Times New Roman" w:hAnsi="Times New Roman"/>
                <w:sz w:val="22"/>
                <w:szCs w:val="22"/>
              </w:rPr>
            </w:pPr>
            <w:r>
              <w:rPr>
                <w:rFonts w:ascii="Times New Roman" w:hAnsi="Times New Roman"/>
                <w:sz w:val="22"/>
                <w:szCs w:val="22"/>
              </w:rPr>
              <w:t>Farklı para birimlerini dönüştürmek için kullanılacak resmi satış kurunun kaynağı son teklif verme tarih ve saatinde geçerli olan T.C. Merkez Bankasının ilan ettiği döviz satış kurlarıdır.  Eğer teklifl</w:t>
            </w:r>
            <w:r>
              <w:rPr>
                <w:rFonts w:ascii="Times New Roman" w:hAnsi="Times New Roman"/>
                <w:sz w:val="22"/>
                <w:szCs w:val="22"/>
              </w:rPr>
              <w:t>erin açılma saati 15:30’dan önce ise bir önceki çalışma gününde saat 15:30’da açıklanan gösterge niteliğindeki döviz satış kurları kullanılacaktır.</w:t>
            </w:r>
          </w:p>
          <w:p w14:paraId="3B947E72" w14:textId="77777777" w:rsidR="00442AA5" w:rsidRDefault="00442AA5">
            <w:pPr>
              <w:pStyle w:val="Standard"/>
              <w:tabs>
                <w:tab w:val="right" w:pos="7254"/>
              </w:tabs>
              <w:spacing w:before="60" w:after="60"/>
              <w:rPr>
                <w:rFonts w:hint="eastAsia"/>
              </w:rPr>
            </w:pPr>
          </w:p>
        </w:tc>
        <w:tc>
          <w:tcPr>
            <w:tcW w:w="4198" w:type="dxa"/>
            <w:shd w:val="clear" w:color="auto" w:fill="auto"/>
            <w:tcMar>
              <w:top w:w="0" w:type="dxa"/>
              <w:left w:w="10" w:type="dxa"/>
              <w:bottom w:w="0" w:type="dxa"/>
              <w:right w:w="10" w:type="dxa"/>
            </w:tcMar>
          </w:tcPr>
          <w:p w14:paraId="4AC3AB5D" w14:textId="77777777" w:rsidR="00442AA5" w:rsidRDefault="00442AA5">
            <w:pPr>
              <w:pStyle w:val="Standard"/>
              <w:tabs>
                <w:tab w:val="right" w:pos="7254"/>
              </w:tabs>
              <w:spacing w:before="60" w:after="60"/>
              <w:rPr>
                <w:rFonts w:hint="eastAsia"/>
              </w:rPr>
            </w:pPr>
          </w:p>
        </w:tc>
      </w:tr>
      <w:tr w:rsidR="00442AA5" w14:paraId="2C19FE9B"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2A7F4058" w14:textId="77777777" w:rsidR="00442AA5" w:rsidRDefault="00FA0E01">
            <w:pPr>
              <w:pStyle w:val="TableContents"/>
              <w:rPr>
                <w:rFonts w:ascii="Times New Roman" w:hAnsi="Times New Roman"/>
                <w:sz w:val="22"/>
                <w:szCs w:val="22"/>
              </w:rPr>
            </w:pPr>
            <w:r>
              <w:rPr>
                <w:rFonts w:ascii="Times New Roman" w:hAnsi="Times New Roman"/>
                <w:sz w:val="22"/>
                <w:szCs w:val="22"/>
              </w:rPr>
              <w:t>Ö.H. 4.2. Maddesinde belirtilen mevcut uzmanların niteliksel değerlendirme kriterleri nelerdir açıklayabi</w:t>
            </w:r>
            <w:r>
              <w:rPr>
                <w:rFonts w:ascii="Times New Roman" w:hAnsi="Times New Roman"/>
                <w:sz w:val="22"/>
                <w:szCs w:val="22"/>
              </w:rPr>
              <w:t>lir misiniz?</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4331A" w14:textId="77777777" w:rsidR="00442AA5" w:rsidRDefault="00FA0E01">
            <w:pPr>
              <w:pStyle w:val="TableContents"/>
              <w:rPr>
                <w:rFonts w:hint="eastAsia"/>
              </w:rPr>
            </w:pPr>
            <w:r>
              <w:rPr>
                <w:rFonts w:ascii="Times New Roman" w:hAnsi="Times New Roman"/>
                <w:sz w:val="22"/>
                <w:szCs w:val="22"/>
              </w:rPr>
              <w:t xml:space="preserve">Ö.H. 4.2. Maddesinde belirtilen mevcut uzmanların niteliksel değerlendirme kriterleri, ihale paketlerine ait </w:t>
            </w:r>
            <w:r>
              <w:rPr>
                <w:rStyle w:val="VarsaylanParagrafYazTipi1"/>
                <w:rFonts w:ascii="Times New Roman" w:eastAsia="Times New Roman" w:hAnsi="Times New Roman" w:cs="Arial"/>
                <w:iCs/>
                <w:sz w:val="22"/>
                <w:szCs w:val="22"/>
                <w:lang w:bidi="ar-SA"/>
              </w:rPr>
              <w:t xml:space="preserve">İş Tanımı (TOR)- Özel Teknik Şartnamelerde ayrıntılı şekilde açıklanan işlere yönelik deneyimler </w:t>
            </w:r>
            <w:proofErr w:type="gramStart"/>
            <w:r>
              <w:rPr>
                <w:rStyle w:val="VarsaylanParagrafYazTipi1"/>
                <w:rFonts w:ascii="Times New Roman" w:eastAsia="Times New Roman" w:hAnsi="Times New Roman" w:cs="Arial"/>
                <w:iCs/>
                <w:sz w:val="22"/>
                <w:szCs w:val="22"/>
                <w:lang w:bidi="ar-SA"/>
              </w:rPr>
              <w:t xml:space="preserve">kapsamında,  </w:t>
            </w:r>
            <w:r>
              <w:rPr>
                <w:rFonts w:ascii="Times New Roman" w:hAnsi="Times New Roman"/>
                <w:sz w:val="22"/>
                <w:szCs w:val="22"/>
              </w:rPr>
              <w:t>ihale</w:t>
            </w:r>
            <w:proofErr w:type="gramEnd"/>
            <w:r>
              <w:rPr>
                <w:rFonts w:ascii="Times New Roman" w:hAnsi="Times New Roman"/>
                <w:sz w:val="22"/>
                <w:szCs w:val="22"/>
              </w:rPr>
              <w:t xml:space="preserve"> komisyonu tarafınd</w:t>
            </w:r>
            <w:r>
              <w:rPr>
                <w:rFonts w:ascii="Times New Roman" w:hAnsi="Times New Roman"/>
                <w:sz w:val="22"/>
                <w:szCs w:val="22"/>
              </w:rPr>
              <w:t>an değerlendirilecektir.</w:t>
            </w:r>
          </w:p>
        </w:tc>
        <w:tc>
          <w:tcPr>
            <w:tcW w:w="4198" w:type="dxa"/>
            <w:shd w:val="clear" w:color="auto" w:fill="auto"/>
            <w:tcMar>
              <w:top w:w="0" w:type="dxa"/>
              <w:left w:w="10" w:type="dxa"/>
              <w:bottom w:w="0" w:type="dxa"/>
              <w:right w:w="10" w:type="dxa"/>
            </w:tcMar>
          </w:tcPr>
          <w:p w14:paraId="5DB9630E" w14:textId="77777777" w:rsidR="00442AA5" w:rsidRDefault="00442AA5">
            <w:pPr>
              <w:pStyle w:val="TableContents"/>
              <w:rPr>
                <w:rFonts w:hint="eastAsia"/>
              </w:rPr>
            </w:pPr>
          </w:p>
        </w:tc>
      </w:tr>
      <w:tr w:rsidR="00442AA5" w14:paraId="2025B5E7"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7C495712" w14:textId="77777777" w:rsidR="00442AA5" w:rsidRDefault="00FA0E01">
            <w:pPr>
              <w:pStyle w:val="TableContents"/>
              <w:rPr>
                <w:rFonts w:ascii="Times New Roman" w:hAnsi="Times New Roman"/>
                <w:sz w:val="22"/>
                <w:szCs w:val="22"/>
              </w:rPr>
            </w:pPr>
            <w:r>
              <w:rPr>
                <w:rFonts w:ascii="Times New Roman" w:hAnsi="Times New Roman"/>
                <w:sz w:val="22"/>
                <w:szCs w:val="22"/>
              </w:rPr>
              <w:t xml:space="preserve">FRIT-III-KFW-D04 (IC1), FRIT-III-KFW-D05 (IC2), FRIT-III-KFW-D06 (IC3) referans numaralı, İlgi Bildirimi ilanı yayınlanmış olan ihale kapsamında, 3 paket işi tek bir dosya ile İdarenize sunabilir miyiz? Yoksa, her biri için ayrı </w:t>
            </w:r>
            <w:r>
              <w:rPr>
                <w:rFonts w:ascii="Times New Roman" w:hAnsi="Times New Roman"/>
                <w:sz w:val="22"/>
                <w:szCs w:val="22"/>
              </w:rPr>
              <w:t>dosya mı hazırlamamız gerekiyor?</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9E5AC8" w14:textId="77777777" w:rsidR="00442AA5" w:rsidRDefault="00FA0E01">
            <w:pPr>
              <w:pStyle w:val="Textbody"/>
              <w:spacing w:line="240" w:lineRule="auto"/>
              <w:jc w:val="both"/>
              <w:rPr>
                <w:rFonts w:ascii="Times New Roman" w:hAnsi="Times New Roman"/>
                <w:sz w:val="22"/>
                <w:szCs w:val="22"/>
              </w:rPr>
            </w:pPr>
            <w:r>
              <w:rPr>
                <w:rFonts w:ascii="Times New Roman" w:hAnsi="Times New Roman"/>
                <w:sz w:val="22"/>
                <w:szCs w:val="22"/>
              </w:rPr>
              <w:t xml:space="preserve">FRIT-III-KFW-D04 (IC1), FRIT-III-KFW-D05 (IC2), FRIT-III-KFW-D06 (IC3) referans numaralı 3 paket danışmanlık işine ait Niyet Beyanları İstekliler tarafından tek bir dosyada sunulabilir. Niyet Beyanları başvuru </w:t>
            </w:r>
            <w:r>
              <w:rPr>
                <w:rFonts w:ascii="Times New Roman" w:hAnsi="Times New Roman"/>
                <w:sz w:val="22"/>
                <w:szCs w:val="22"/>
              </w:rPr>
              <w:t>sahiplerinin ilgilendiği Paketlerin adını ve Referans numarasını açıkça belirtmelidir. Birden fazla iş için niyet beyanında bulunan isteklilerin yeterlilik dokümanındaki yeterlilik koşullarını karşılamaları gerekmektedir.</w:t>
            </w:r>
          </w:p>
        </w:tc>
        <w:tc>
          <w:tcPr>
            <w:tcW w:w="4198" w:type="dxa"/>
            <w:shd w:val="clear" w:color="auto" w:fill="auto"/>
            <w:tcMar>
              <w:top w:w="0" w:type="dxa"/>
              <w:left w:w="10" w:type="dxa"/>
              <w:bottom w:w="0" w:type="dxa"/>
              <w:right w:w="10" w:type="dxa"/>
            </w:tcMar>
          </w:tcPr>
          <w:p w14:paraId="6A0D6D44" w14:textId="77777777" w:rsidR="00442AA5" w:rsidRDefault="00442AA5">
            <w:pPr>
              <w:pStyle w:val="Textbody"/>
              <w:spacing w:line="240" w:lineRule="auto"/>
              <w:jc w:val="both"/>
              <w:rPr>
                <w:rFonts w:ascii="Times New Roman" w:hAnsi="Times New Roman"/>
                <w:sz w:val="22"/>
                <w:szCs w:val="22"/>
              </w:rPr>
            </w:pPr>
          </w:p>
        </w:tc>
      </w:tr>
      <w:tr w:rsidR="00442AA5" w14:paraId="1AA9DD96"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61C01D7B" w14:textId="77777777" w:rsidR="00442AA5" w:rsidRDefault="00FA0E01">
            <w:pPr>
              <w:pStyle w:val="TableContents"/>
              <w:rPr>
                <w:rFonts w:hint="eastAsia"/>
              </w:rPr>
            </w:pPr>
            <w:r>
              <w:rPr>
                <w:rFonts w:ascii="Times New Roman" w:hAnsi="Times New Roman"/>
                <w:sz w:val="22"/>
                <w:szCs w:val="22"/>
              </w:rPr>
              <w:t>İşin Ön Yeterlik Şartnamesi, Öze</w:t>
            </w:r>
            <w:r>
              <w:rPr>
                <w:rFonts w:ascii="Times New Roman" w:hAnsi="Times New Roman"/>
                <w:sz w:val="22"/>
                <w:szCs w:val="22"/>
              </w:rPr>
              <w:t>l Hükümler 4.2. Maddesi Değerlendirme başlığı altında, 4.2.1 bendinde yer alan finansal ve teknik yeterlilik tablosu son satırı “Benzer üst yapı inşaat işlerinde inşaat kontrolörlüğünde danışmanlık hizmetleri deneyimi, son beş yılın toplamı” kıstasından an</w:t>
            </w:r>
            <w:r>
              <w:rPr>
                <w:rFonts w:ascii="Times New Roman" w:hAnsi="Times New Roman"/>
                <w:sz w:val="22"/>
                <w:szCs w:val="22"/>
              </w:rPr>
              <w:t>lamamız gereken sadece inşaat kontrollüğünde ait iş deneyim belgelerimizin sunulması yönünde midir? Yoksa, hem 4.2.2 GH 4.2.1 “Şartları Karşılayan Başvurular aşağıdaki kriterlere ve puanlama sistemine uygun olarak değerlendirilecektir” maddesi Yeterlilik K</w:t>
            </w:r>
            <w:r>
              <w:rPr>
                <w:rFonts w:ascii="Times New Roman" w:hAnsi="Times New Roman"/>
                <w:sz w:val="22"/>
                <w:szCs w:val="22"/>
              </w:rPr>
              <w:t>riterleri tablosu “</w:t>
            </w:r>
            <w:r>
              <w:rPr>
                <w:rFonts w:ascii="Times New Roman" w:hAnsi="Times New Roman"/>
                <w:i/>
                <w:iCs/>
                <w:sz w:val="22"/>
                <w:szCs w:val="22"/>
              </w:rPr>
              <w:t xml:space="preserve">1.2 Anaokulları, okullar, üniversite binaları, kamu binaları gibi yukarıda tanımlanan hizmetlere benzer inşaat yapıları için </w:t>
            </w:r>
            <w:r>
              <w:rPr>
                <w:rFonts w:ascii="Times New Roman" w:hAnsi="Times New Roman"/>
                <w:b/>
                <w:bCs/>
                <w:i/>
                <w:iCs/>
                <w:sz w:val="22"/>
                <w:szCs w:val="22"/>
              </w:rPr>
              <w:t>tasarım ve tasarım gözden geçirmelerinin hazırlanmasında</w:t>
            </w:r>
            <w:r>
              <w:rPr>
                <w:rFonts w:ascii="Times New Roman" w:hAnsi="Times New Roman"/>
                <w:i/>
                <w:iCs/>
                <w:sz w:val="22"/>
                <w:szCs w:val="22"/>
              </w:rPr>
              <w:t xml:space="preserve"> Spesifik Deneyim ve bu gibi işlerde son 5 yıl içerisind</w:t>
            </w:r>
            <w:r>
              <w:rPr>
                <w:rFonts w:ascii="Times New Roman" w:hAnsi="Times New Roman"/>
                <w:i/>
                <w:iCs/>
                <w:sz w:val="22"/>
                <w:szCs w:val="22"/>
              </w:rPr>
              <w:t xml:space="preserve">eki inşaat kontrollük hizmetler, deneyimi” </w:t>
            </w:r>
            <w:r>
              <w:rPr>
                <w:rFonts w:ascii="Times New Roman" w:hAnsi="Times New Roman"/>
                <w:sz w:val="22"/>
                <w:szCs w:val="22"/>
              </w:rPr>
              <w:t xml:space="preserve">bendinde bahsi geçen hem de 2.2.1 maddesi 2.2.1(d)(VI) Proje Referansları bölümünde “ </w:t>
            </w:r>
            <w:r>
              <w:rPr>
                <w:rStyle w:val="VarsaylanParagrafYazTipi1"/>
                <w:rFonts w:ascii="Times New Roman" w:hAnsi="Times New Roman" w:cs="Arial"/>
                <w:i/>
                <w:sz w:val="22"/>
                <w:szCs w:val="22"/>
                <w:lang w:eastAsia="en-GB" w:bidi="en-GB"/>
              </w:rPr>
              <w:t>Yukarıda tanımlanan hizmetlere benzer inşaat yapımı için tasarımların veya tasarım gözden geçirmelerinin Hazırlanmasında Özel D</w:t>
            </w:r>
            <w:r>
              <w:rPr>
                <w:rStyle w:val="VarsaylanParagrafYazTipi1"/>
                <w:rFonts w:ascii="Times New Roman" w:hAnsi="Times New Roman" w:cs="Arial"/>
                <w:i/>
                <w:sz w:val="22"/>
                <w:szCs w:val="22"/>
                <w:lang w:eastAsia="en-GB" w:bidi="en-GB"/>
              </w:rPr>
              <w:t xml:space="preserve">eneyim ve inşaat kontrollük hizmetlerinde deneyim, (İşverenlerin gerekli bilgileri tevsik eden standart bitirme belgeleri kabul edilir. Spesifik bir belge şartı bulunmamaktadır).” </w:t>
            </w:r>
            <w:r>
              <w:rPr>
                <w:rStyle w:val="VarsaylanParagrafYazTipi1"/>
                <w:rFonts w:ascii="Times New Roman" w:hAnsi="Times New Roman" w:cs="Arial"/>
                <w:sz w:val="22"/>
                <w:szCs w:val="22"/>
                <w:lang w:eastAsia="en-GB" w:bidi="en-GB"/>
              </w:rPr>
              <w:t>ibarelerinden yola çıkarak tasarım, tasarımın gözden geçirilmesi ve inşaat k</w:t>
            </w:r>
            <w:r>
              <w:rPr>
                <w:rStyle w:val="VarsaylanParagrafYazTipi1"/>
                <w:rFonts w:ascii="Times New Roman" w:hAnsi="Times New Roman" w:cs="Arial"/>
                <w:sz w:val="22"/>
                <w:szCs w:val="22"/>
                <w:lang w:eastAsia="en-GB" w:bidi="en-GB"/>
              </w:rPr>
              <w:t>ontrollüğü deneyimlerinin bir arada ya da ayrı ayrı yapıldığını gösteren iş deneyimlerimizi mi tarafınıza sunmamız gereklidir?</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37EB3A" w14:textId="77777777" w:rsidR="00442AA5" w:rsidRDefault="00FA0E01">
            <w:pPr>
              <w:pStyle w:val="TableContents"/>
              <w:rPr>
                <w:rFonts w:hint="eastAsia"/>
              </w:rPr>
            </w:pPr>
            <w:r>
              <w:rPr>
                <w:rFonts w:ascii="Times New Roman" w:hAnsi="Times New Roman"/>
                <w:sz w:val="22"/>
                <w:szCs w:val="22"/>
              </w:rPr>
              <w:t xml:space="preserve">Ön Yeterlilik Şartnamesi </w:t>
            </w:r>
            <w:r>
              <w:rPr>
                <w:rStyle w:val="VarsaylanParagrafYazTipi1"/>
                <w:rFonts w:ascii="Times New Roman" w:hAnsi="Times New Roman" w:cs="Arial"/>
                <w:sz w:val="22"/>
                <w:szCs w:val="22"/>
              </w:rPr>
              <w:t>Bölüm I. - Genel Hükümler (GH) Madde 4.2.3 “</w:t>
            </w:r>
            <w:r>
              <w:rPr>
                <w:rStyle w:val="VarsaylanParagrafYazTipi1"/>
                <w:rFonts w:ascii="Times New Roman" w:hAnsi="Times New Roman" w:cs="Arial"/>
                <w:i/>
                <w:iCs/>
                <w:sz w:val="22"/>
                <w:szCs w:val="22"/>
              </w:rPr>
              <w:t xml:space="preserve">GH 4.2.2'ye uygun olarak ön yeterlik alt kriterlerinin ayrı </w:t>
            </w:r>
            <w:r>
              <w:rPr>
                <w:rStyle w:val="VarsaylanParagrafYazTipi1"/>
                <w:rFonts w:ascii="Times New Roman" w:hAnsi="Times New Roman" w:cs="Arial"/>
                <w:i/>
                <w:iCs/>
                <w:sz w:val="22"/>
                <w:szCs w:val="22"/>
              </w:rPr>
              <w:t>ayrı puanlandırılması amacıyla, İşveren her bir kriter için aşağıda belirtilen niteliksel yaklaşımı uygulayacaktır.</w:t>
            </w:r>
            <w:r>
              <w:rPr>
                <w:rStyle w:val="VarsaylanParagrafYazTipi1"/>
                <w:rFonts w:ascii="Times New Roman" w:hAnsi="Times New Roman" w:cs="Arial"/>
                <w:sz w:val="22"/>
                <w:szCs w:val="22"/>
              </w:rPr>
              <w:t xml:space="preserve">” ve Bölüm II - Özel Hükümler (ÖH) Madde </w:t>
            </w:r>
            <w:r>
              <w:rPr>
                <w:rStyle w:val="VarsaylanParagrafYazTipi1"/>
                <w:rFonts w:ascii="Times New Roman" w:hAnsi="Times New Roman" w:cs="Arial"/>
                <w:iCs/>
                <w:sz w:val="22"/>
                <w:szCs w:val="22"/>
              </w:rPr>
              <w:t>4.2.2</w:t>
            </w:r>
            <w:r>
              <w:rPr>
                <w:rStyle w:val="VarsaylanParagrafYazTipi1"/>
                <w:rFonts w:ascii="Times New Roman" w:hAnsi="Times New Roman" w:cs="Arial"/>
                <w:iCs/>
                <w:sz w:val="22"/>
                <w:szCs w:val="22"/>
              </w:rPr>
              <w:tab/>
              <w:t>“</w:t>
            </w:r>
            <w:r>
              <w:rPr>
                <w:rStyle w:val="VarsaylanParagrafYazTipi1"/>
                <w:rFonts w:ascii="Times New Roman" w:hAnsi="Times New Roman" w:cs="Arial"/>
                <w:i/>
                <w:iCs/>
                <w:sz w:val="22"/>
                <w:szCs w:val="22"/>
              </w:rPr>
              <w:t xml:space="preserve">GH 4.2.1'e göre Şartları Karşılayan Başvurular aşağıdaki kriterlere ve puanlama </w:t>
            </w:r>
            <w:r>
              <w:rPr>
                <w:rStyle w:val="VarsaylanParagrafYazTipi1"/>
                <w:rFonts w:ascii="Times New Roman" w:hAnsi="Times New Roman" w:cs="Arial"/>
                <w:i/>
                <w:iCs/>
                <w:sz w:val="22"/>
                <w:szCs w:val="22"/>
              </w:rPr>
              <w:t>sistemine uygun olarak değerlendirilecektir.</w:t>
            </w:r>
            <w:r>
              <w:rPr>
                <w:rStyle w:val="VarsaylanParagrafYazTipi1"/>
                <w:rFonts w:ascii="Times New Roman" w:hAnsi="Times New Roman" w:cs="Arial"/>
                <w:iCs/>
                <w:sz w:val="22"/>
                <w:szCs w:val="22"/>
              </w:rPr>
              <w:t>” hükümleri gereğince, İstekliler tarafından sunulacak iş deneyimleri genel ve özel deneyimlere göre ayrı ayrı puanlanacaktır.</w:t>
            </w:r>
          </w:p>
        </w:tc>
        <w:tc>
          <w:tcPr>
            <w:tcW w:w="4198" w:type="dxa"/>
            <w:shd w:val="clear" w:color="auto" w:fill="auto"/>
            <w:tcMar>
              <w:top w:w="0" w:type="dxa"/>
              <w:left w:w="10" w:type="dxa"/>
              <w:bottom w:w="0" w:type="dxa"/>
              <w:right w:w="10" w:type="dxa"/>
            </w:tcMar>
          </w:tcPr>
          <w:p w14:paraId="5647C6FE" w14:textId="77777777" w:rsidR="00442AA5" w:rsidRDefault="00442AA5">
            <w:pPr>
              <w:pStyle w:val="TableContents"/>
              <w:rPr>
                <w:rFonts w:hint="eastAsia"/>
              </w:rPr>
            </w:pPr>
          </w:p>
        </w:tc>
      </w:tr>
      <w:tr w:rsidR="00442AA5" w14:paraId="68EEDEC6" w14:textId="77777777">
        <w:tblPrEx>
          <w:tblCellMar>
            <w:top w:w="0" w:type="dxa"/>
            <w:bottom w:w="0" w:type="dxa"/>
          </w:tblCellMar>
        </w:tblPrEx>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14:paraId="01A678C5" w14:textId="77777777" w:rsidR="00442AA5" w:rsidRDefault="00FA0E01">
            <w:pPr>
              <w:pStyle w:val="TableContents"/>
              <w:rPr>
                <w:rFonts w:hint="eastAsia"/>
              </w:rPr>
            </w:pPr>
            <w:r>
              <w:rPr>
                <w:rFonts w:ascii="Times New Roman" w:hAnsi="Times New Roman"/>
                <w:sz w:val="22"/>
                <w:szCs w:val="22"/>
              </w:rPr>
              <w:t>İşin Ön Yeterlik Şartnamesi, Genel Hükümler 2.5. Değerlendirme maddesi, Ön Yeterlik</w:t>
            </w:r>
            <w:r>
              <w:rPr>
                <w:rFonts w:ascii="Times New Roman" w:hAnsi="Times New Roman"/>
                <w:sz w:val="22"/>
                <w:szCs w:val="22"/>
              </w:rPr>
              <w:t xml:space="preserve"> Dokümanına İlişkin Açıklama Talebi başlığı altında, “ </w:t>
            </w:r>
            <w:r>
              <w:rPr>
                <w:rFonts w:ascii="Times New Roman" w:hAnsi="Times New Roman"/>
                <w:i/>
                <w:iCs/>
                <w:sz w:val="22"/>
                <w:szCs w:val="22"/>
              </w:rPr>
              <w:t>2.5.1. ..................</w:t>
            </w:r>
            <w:r>
              <w:rPr>
                <w:rStyle w:val="VarsaylanParagrafYazTipi1"/>
                <w:rFonts w:ascii="Times New Roman" w:hAnsi="Times New Roman"/>
                <w:i/>
                <w:iCs/>
                <w:sz w:val="22"/>
                <w:szCs w:val="22"/>
              </w:rPr>
              <w:t xml:space="preserve">Cevaplar yazılı olarak veya standart elektronik araçlarla verilecek ve </w:t>
            </w:r>
            <w:r>
              <w:rPr>
                <w:rStyle w:val="VarsaylanParagrafYazTipi1"/>
                <w:rFonts w:ascii="Times New Roman" w:hAnsi="Times New Roman"/>
                <w:b/>
                <w:bCs/>
                <w:i/>
                <w:iCs/>
                <w:sz w:val="22"/>
                <w:szCs w:val="22"/>
              </w:rPr>
              <w:t>Ön Yeterlik Dokümanını doğrudan İşverenden almış olan tüm aday Başvuru Sahiplerine</w:t>
            </w:r>
            <w:r>
              <w:rPr>
                <w:rStyle w:val="VarsaylanParagrafYazTipi1"/>
                <w:rFonts w:ascii="Times New Roman" w:hAnsi="Times New Roman"/>
                <w:i/>
                <w:iCs/>
                <w:sz w:val="22"/>
                <w:szCs w:val="22"/>
              </w:rPr>
              <w:t>, sorulan sorunun açıkl</w:t>
            </w:r>
            <w:r>
              <w:rPr>
                <w:rStyle w:val="VarsaylanParagrafYazTipi1"/>
                <w:rFonts w:ascii="Times New Roman" w:hAnsi="Times New Roman"/>
                <w:i/>
                <w:iCs/>
                <w:sz w:val="22"/>
                <w:szCs w:val="22"/>
              </w:rPr>
              <w:t>aması ile birlikte fakat soruyu soranın kimliğini belirtmeden, GH 3.2.1'e göre Başvuruların son teslim tarihinden en geç on (10) gün öncesine kadar gönderilecektir.</w:t>
            </w:r>
            <w:r>
              <w:rPr>
                <w:rStyle w:val="VarsaylanParagrafYazTipi1"/>
                <w:rFonts w:ascii="Times New Roman" w:hAnsi="Times New Roman"/>
                <w:sz w:val="22"/>
                <w:szCs w:val="22"/>
              </w:rPr>
              <w:t xml:space="preserve">” bendi uyarınca Ön Yeterlik </w:t>
            </w:r>
            <w:r>
              <w:rPr>
                <w:rStyle w:val="VarsaylanParagrafYazTipi1"/>
                <w:rFonts w:ascii="Times New Roman" w:hAnsi="Times New Roman"/>
                <w:sz w:val="22"/>
                <w:szCs w:val="22"/>
              </w:rPr>
              <w:lastRenderedPageBreak/>
              <w:t>Dokümanının doğrudan İdarenizden temin edilmesi mi gerekmektedi</w:t>
            </w:r>
            <w:r>
              <w:rPr>
                <w:rStyle w:val="VarsaylanParagrafYazTipi1"/>
                <w:rFonts w:ascii="Times New Roman" w:hAnsi="Times New Roman"/>
                <w:sz w:val="22"/>
                <w:szCs w:val="22"/>
              </w:rPr>
              <w:t>r?</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73D6A9" w14:textId="77777777" w:rsidR="00442AA5" w:rsidRDefault="00FA0E01">
            <w:pPr>
              <w:pStyle w:val="Style7"/>
              <w:spacing w:line="240" w:lineRule="auto"/>
              <w:jc w:val="left"/>
            </w:pPr>
            <w:proofErr w:type="spellStart"/>
            <w:r>
              <w:rPr>
                <w:rStyle w:val="VarsaylanParagrafYazTipi1"/>
                <w:rFonts w:ascii="Times New Roman" w:hAnsi="Times New Roman" w:cs="Arial"/>
                <w:iCs/>
                <w:sz w:val="22"/>
                <w:szCs w:val="22"/>
              </w:rPr>
              <w:lastRenderedPageBreak/>
              <w:t>Kriz</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Zamanında</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Herkes</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İçin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Eğitim</w:t>
            </w:r>
            <w:proofErr w:type="spellEnd"/>
            <w:r>
              <w:rPr>
                <w:rStyle w:val="VarsaylanParagrafYazTipi1"/>
                <w:rFonts w:ascii="Times New Roman" w:hAnsi="Times New Roman" w:cs="Arial"/>
                <w:iCs/>
                <w:sz w:val="22"/>
                <w:szCs w:val="22"/>
              </w:rPr>
              <w:t xml:space="preserve"> III </w:t>
            </w:r>
            <w:proofErr w:type="spellStart"/>
            <w:r>
              <w:rPr>
                <w:rStyle w:val="VarsaylanParagrafYazTipi1"/>
                <w:rFonts w:ascii="Times New Roman" w:hAnsi="Times New Roman" w:cs="Arial"/>
                <w:iCs/>
                <w:sz w:val="22"/>
                <w:szCs w:val="22"/>
              </w:rPr>
              <w:t>Projesi</w:t>
            </w:r>
            <w:proofErr w:type="spellEnd"/>
            <w:r>
              <w:rPr>
                <w:rStyle w:val="VarsaylanParagrafYazTipi1"/>
                <w:rFonts w:ascii="Times New Roman" w:hAnsi="Times New Roman" w:cs="Arial"/>
                <w:iCs/>
                <w:sz w:val="22"/>
                <w:szCs w:val="22"/>
              </w:rPr>
              <w:t xml:space="preserve"> FRIT-III-KFW-D04 (IC1), FRIT-III-KFW-D05 (IC2), FRIT-III-KFW-D06 (IC3) </w:t>
            </w:r>
            <w:proofErr w:type="spellStart"/>
            <w:r>
              <w:rPr>
                <w:rStyle w:val="VarsaylanParagrafYazTipi1"/>
                <w:rFonts w:ascii="Times New Roman" w:hAnsi="Times New Roman" w:cs="Arial"/>
                <w:iCs/>
                <w:sz w:val="22"/>
                <w:szCs w:val="22"/>
              </w:rPr>
              <w:t>referans</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numaralı</w:t>
            </w:r>
            <w:proofErr w:type="spellEnd"/>
            <w:r>
              <w:rPr>
                <w:rStyle w:val="VarsaylanParagrafYazTipi1"/>
                <w:rFonts w:ascii="Times New Roman" w:hAnsi="Times New Roman" w:cs="Arial"/>
                <w:iCs/>
                <w:sz w:val="22"/>
                <w:szCs w:val="22"/>
              </w:rPr>
              <w:t xml:space="preserve"> 19 </w:t>
            </w:r>
            <w:proofErr w:type="spellStart"/>
            <w:r>
              <w:rPr>
                <w:rStyle w:val="VarsaylanParagrafYazTipi1"/>
                <w:rFonts w:ascii="Times New Roman" w:hAnsi="Times New Roman" w:cs="Arial"/>
                <w:iCs/>
                <w:sz w:val="22"/>
                <w:szCs w:val="22"/>
              </w:rPr>
              <w:t>İlde</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Yapılacak</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Eğitim</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Binaları</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Anaokulları</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İnşaat</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Kontrolörlük</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ve</w:t>
            </w:r>
            <w:proofErr w:type="spellEnd"/>
            <w:r>
              <w:rPr>
                <w:rStyle w:val="VarsaylanParagrafYazTipi1"/>
                <w:rFonts w:ascii="Times New Roman" w:hAnsi="Times New Roman" w:cs="Arial"/>
                <w:iCs/>
                <w:sz w:val="22"/>
                <w:szCs w:val="22"/>
              </w:rPr>
              <w:t xml:space="preserve">  Teknik </w:t>
            </w:r>
            <w:proofErr w:type="spellStart"/>
            <w:r>
              <w:rPr>
                <w:rStyle w:val="VarsaylanParagrafYazTipi1"/>
                <w:rFonts w:ascii="Times New Roman" w:hAnsi="Times New Roman" w:cs="Arial"/>
                <w:iCs/>
                <w:sz w:val="22"/>
                <w:szCs w:val="22"/>
              </w:rPr>
              <w:t>Danışmanlık</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Hizmeti</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İşlerine</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ait</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İlgi</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B</w:t>
            </w:r>
            <w:r>
              <w:rPr>
                <w:rStyle w:val="VarsaylanParagrafYazTipi1"/>
                <w:rFonts w:ascii="Times New Roman" w:hAnsi="Times New Roman" w:cs="Arial"/>
                <w:iCs/>
                <w:sz w:val="22"/>
                <w:szCs w:val="22"/>
              </w:rPr>
              <w:t>ildirimine</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Davet</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Ön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Yeterlik</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Şartnamesi</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ve</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paketlere</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ait</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İş</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Tanımı</w:t>
            </w:r>
            <w:proofErr w:type="spellEnd"/>
            <w:r>
              <w:rPr>
                <w:rStyle w:val="VarsaylanParagrafYazTipi1"/>
                <w:rFonts w:ascii="Times New Roman" w:hAnsi="Times New Roman" w:cs="Arial"/>
                <w:iCs/>
                <w:sz w:val="22"/>
                <w:szCs w:val="22"/>
              </w:rPr>
              <w:t xml:space="preserve"> (TOR)- Özel Teknik </w:t>
            </w:r>
            <w:proofErr w:type="spellStart"/>
            <w:r>
              <w:rPr>
                <w:rStyle w:val="VarsaylanParagrafYazTipi1"/>
                <w:rFonts w:ascii="Times New Roman" w:hAnsi="Times New Roman" w:cs="Arial"/>
                <w:iCs/>
                <w:sz w:val="22"/>
                <w:szCs w:val="22"/>
              </w:rPr>
              <w:t>Şartnameler</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İdaremiz</w:t>
            </w:r>
            <w:proofErr w:type="spellEnd"/>
            <w:r>
              <w:rPr>
                <w:rStyle w:val="VarsaylanParagrafYazTipi1"/>
                <w:rFonts w:ascii="Times New Roman" w:hAnsi="Times New Roman" w:cs="Arial"/>
                <w:iCs/>
                <w:sz w:val="22"/>
                <w:szCs w:val="22"/>
              </w:rPr>
              <w:t xml:space="preserve"> web </w:t>
            </w:r>
            <w:proofErr w:type="spellStart"/>
            <w:r>
              <w:rPr>
                <w:rStyle w:val="VarsaylanParagrafYazTipi1"/>
                <w:rFonts w:ascii="Times New Roman" w:hAnsi="Times New Roman" w:cs="Arial"/>
                <w:iCs/>
                <w:sz w:val="22"/>
                <w:szCs w:val="22"/>
              </w:rPr>
              <w:t>sitesine</w:t>
            </w:r>
            <w:proofErr w:type="spellEnd"/>
            <w:r>
              <w:rPr>
                <w:rStyle w:val="VarsaylanParagrafYazTipi1"/>
                <w:rFonts w:ascii="Times New Roman" w:hAnsi="Times New Roman" w:cs="Arial"/>
                <w:iCs/>
                <w:sz w:val="22"/>
                <w:szCs w:val="22"/>
              </w:rPr>
              <w:t xml:space="preserve"> (</w:t>
            </w:r>
            <w:hyperlink r:id="rId6" w:history="1">
              <w:r>
                <w:rPr>
                  <w:rStyle w:val="VarsaylanParagrafYazTipi1"/>
                </w:rPr>
                <w:t>http://iegm.meb.gov.tr/www/19-</w:t>
              </w:r>
              <w:r>
                <w:rPr>
                  <w:rStyle w:val="VarsaylanParagrafYazTipi1"/>
                </w:rPr>
                <w:lastRenderedPageBreak/>
                <w:t>ilde-yapilacak-egitim-binalari-anaokullari-insaat-kontrolu-ve-teknik-danismanlik-hizmetleri-isleri-on-secim-ilani/icerik/497</w:t>
              </w:r>
            </w:hyperlink>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yüklenmiş</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olup</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söz</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konusu</w:t>
            </w:r>
            <w:proofErr w:type="spellEnd"/>
            <w:r>
              <w:rPr>
                <w:rStyle w:val="VarsaylanParagrafYazTipi1"/>
                <w:rFonts w:ascii="Times New Roman" w:hAnsi="Times New Roman" w:cs="Arial"/>
                <w:iCs/>
                <w:sz w:val="22"/>
                <w:szCs w:val="22"/>
              </w:rPr>
              <w:t xml:space="preserve"> web </w:t>
            </w:r>
            <w:proofErr w:type="spellStart"/>
            <w:r>
              <w:rPr>
                <w:rStyle w:val="VarsaylanParagrafYazTipi1"/>
                <w:rFonts w:ascii="Times New Roman" w:hAnsi="Times New Roman" w:cs="Arial"/>
                <w:iCs/>
                <w:sz w:val="22"/>
                <w:szCs w:val="22"/>
              </w:rPr>
              <w:t>sitesinden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bu</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dokümanlara</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erişi</w:t>
            </w:r>
            <w:r>
              <w:rPr>
                <w:rStyle w:val="VarsaylanParagrafYazTipi1"/>
                <w:rFonts w:ascii="Times New Roman" w:hAnsi="Times New Roman" w:cs="Arial"/>
                <w:iCs/>
                <w:sz w:val="22"/>
                <w:szCs w:val="22"/>
              </w:rPr>
              <w:t>m</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sağlanabilmektedir</w:t>
            </w:r>
            <w:proofErr w:type="spellEnd"/>
            <w:r>
              <w:rPr>
                <w:rStyle w:val="VarsaylanParagrafYazTipi1"/>
                <w:rFonts w:ascii="Times New Roman" w:hAnsi="Times New Roman" w:cs="Arial"/>
                <w:iCs/>
                <w:sz w:val="22"/>
                <w:szCs w:val="22"/>
              </w:rPr>
              <w:t xml:space="preserve">. Bunun </w:t>
            </w:r>
            <w:proofErr w:type="spellStart"/>
            <w:r>
              <w:rPr>
                <w:rStyle w:val="VarsaylanParagrafYazTipi1"/>
                <w:rFonts w:ascii="Times New Roman" w:hAnsi="Times New Roman" w:cs="Arial"/>
                <w:iCs/>
                <w:sz w:val="22"/>
                <w:szCs w:val="22"/>
              </w:rPr>
              <w:t>dışında</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Ön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Yeterlik</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Dokümanı</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veya</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diğer</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dokümanlar</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İdaremizden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doğrudan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temin</w:t>
            </w:r>
            <w:proofErr w:type="spellEnd"/>
            <w:r>
              <w:rPr>
                <w:rStyle w:val="VarsaylanParagrafYazTipi1"/>
                <w:rFonts w:ascii="Times New Roman" w:hAnsi="Times New Roman" w:cs="Arial"/>
                <w:iCs/>
                <w:sz w:val="22"/>
                <w:szCs w:val="22"/>
              </w:rPr>
              <w:t xml:space="preserve"> </w:t>
            </w:r>
            <w:proofErr w:type="spellStart"/>
            <w:r>
              <w:rPr>
                <w:rStyle w:val="VarsaylanParagrafYazTipi1"/>
                <w:rFonts w:ascii="Times New Roman" w:hAnsi="Times New Roman" w:cs="Arial"/>
                <w:iCs/>
                <w:sz w:val="22"/>
                <w:szCs w:val="22"/>
              </w:rPr>
              <w:t>edilmeyecektir</w:t>
            </w:r>
            <w:proofErr w:type="spellEnd"/>
            <w:r>
              <w:rPr>
                <w:rStyle w:val="VarsaylanParagrafYazTipi1"/>
                <w:rFonts w:ascii="Times New Roman" w:hAnsi="Times New Roman" w:cs="Arial"/>
                <w:iCs/>
                <w:sz w:val="22"/>
                <w:szCs w:val="22"/>
              </w:rPr>
              <w:t>.</w:t>
            </w:r>
            <w:r>
              <w:rPr>
                <w:rStyle w:val="VarsaylanParagrafYazTipi1"/>
                <w:rFonts w:ascii="Times New Roman" w:hAnsi="Times New Roman"/>
                <w:i/>
                <w:iCs/>
                <w:sz w:val="22"/>
                <w:szCs w:val="22"/>
              </w:rPr>
              <w:t xml:space="preserve"> </w:t>
            </w:r>
            <w:r>
              <w:rPr>
                <w:rStyle w:val="VarsaylanParagrafYazTipi1"/>
                <w:rFonts w:ascii="Times New Roman" w:hAnsi="Times New Roman"/>
                <w:iCs/>
                <w:sz w:val="22"/>
                <w:szCs w:val="22"/>
                <w:lang w:val="tr-TR"/>
              </w:rPr>
              <w:t xml:space="preserve">Sorulan sorular ve </w:t>
            </w:r>
            <w:proofErr w:type="spellStart"/>
            <w:r>
              <w:rPr>
                <w:rStyle w:val="VarsaylanParagrafYazTipi1"/>
                <w:rFonts w:ascii="Times New Roman" w:hAnsi="Times New Roman"/>
                <w:iCs/>
                <w:sz w:val="22"/>
                <w:szCs w:val="22"/>
              </w:rPr>
              <w:t>cevaplar</w:t>
            </w:r>
            <w:proofErr w:type="spellEnd"/>
            <w:r>
              <w:rPr>
                <w:rStyle w:val="VarsaylanParagrafYazTipi1"/>
                <w:rFonts w:ascii="Times New Roman" w:hAnsi="Times New Roman"/>
                <w:iCs/>
                <w:sz w:val="22"/>
                <w:szCs w:val="22"/>
              </w:rPr>
              <w:t xml:space="preserve"> </w:t>
            </w:r>
            <w:r>
              <w:rPr>
                <w:rStyle w:val="VarsaylanParagrafYazTipi1"/>
                <w:rFonts w:ascii="Times New Roman" w:hAnsi="Times New Roman"/>
                <w:iCs/>
                <w:sz w:val="22"/>
                <w:szCs w:val="22"/>
                <w:lang w:val="tr-TR"/>
              </w:rPr>
              <w:t xml:space="preserve">ihale ile ilgilenen tüm isteklilerin </w:t>
            </w:r>
            <w:proofErr w:type="gramStart"/>
            <w:r>
              <w:rPr>
                <w:rStyle w:val="VarsaylanParagrafYazTipi1"/>
                <w:rFonts w:ascii="Times New Roman" w:hAnsi="Times New Roman"/>
                <w:iCs/>
                <w:sz w:val="22"/>
                <w:szCs w:val="22"/>
                <w:lang w:val="tr-TR"/>
              </w:rPr>
              <w:t>dikkatine  b</w:t>
            </w:r>
            <w:proofErr w:type="spellStart"/>
            <w:r>
              <w:rPr>
                <w:rStyle w:val="VarsaylanParagrafYazTipi1"/>
                <w:rFonts w:ascii="Times New Roman" w:hAnsi="Times New Roman"/>
                <w:iCs/>
                <w:sz w:val="22"/>
                <w:szCs w:val="22"/>
              </w:rPr>
              <w:t>aşvuruların</w:t>
            </w:r>
            <w:proofErr w:type="spellEnd"/>
            <w:proofErr w:type="gramEnd"/>
            <w:r>
              <w:rPr>
                <w:rStyle w:val="VarsaylanParagrafYazTipi1"/>
                <w:rFonts w:ascii="Times New Roman" w:hAnsi="Times New Roman"/>
                <w:iCs/>
                <w:sz w:val="22"/>
                <w:szCs w:val="22"/>
              </w:rPr>
              <w:t xml:space="preserve"> son </w:t>
            </w:r>
            <w:proofErr w:type="spellStart"/>
            <w:r>
              <w:rPr>
                <w:rStyle w:val="VarsaylanParagrafYazTipi1"/>
                <w:rFonts w:ascii="Times New Roman" w:hAnsi="Times New Roman"/>
                <w:iCs/>
                <w:sz w:val="22"/>
                <w:szCs w:val="22"/>
              </w:rPr>
              <w:t>teslim</w:t>
            </w:r>
            <w:proofErr w:type="spellEnd"/>
            <w:r>
              <w:rPr>
                <w:rStyle w:val="VarsaylanParagrafYazTipi1"/>
                <w:rFonts w:ascii="Times New Roman" w:hAnsi="Times New Roman"/>
                <w:iCs/>
                <w:sz w:val="22"/>
                <w:szCs w:val="22"/>
              </w:rPr>
              <w:t xml:space="preserve"> </w:t>
            </w:r>
            <w:proofErr w:type="spellStart"/>
            <w:r>
              <w:rPr>
                <w:rStyle w:val="VarsaylanParagrafYazTipi1"/>
                <w:rFonts w:ascii="Times New Roman" w:hAnsi="Times New Roman"/>
                <w:iCs/>
                <w:sz w:val="22"/>
                <w:szCs w:val="22"/>
              </w:rPr>
              <w:t>tarihinden</w:t>
            </w:r>
            <w:proofErr w:type="spellEnd"/>
            <w:r>
              <w:rPr>
                <w:rStyle w:val="VarsaylanParagrafYazTipi1"/>
                <w:rFonts w:ascii="Times New Roman" w:hAnsi="Times New Roman"/>
                <w:iCs/>
                <w:sz w:val="22"/>
                <w:szCs w:val="22"/>
              </w:rPr>
              <w:t xml:space="preserve"> </w:t>
            </w:r>
            <w:proofErr w:type="spellStart"/>
            <w:r>
              <w:rPr>
                <w:rStyle w:val="VarsaylanParagrafYazTipi1"/>
                <w:rFonts w:ascii="Times New Roman" w:hAnsi="Times New Roman"/>
                <w:iCs/>
                <w:sz w:val="22"/>
                <w:szCs w:val="22"/>
              </w:rPr>
              <w:t>en</w:t>
            </w:r>
            <w:proofErr w:type="spellEnd"/>
            <w:r>
              <w:rPr>
                <w:rStyle w:val="VarsaylanParagrafYazTipi1"/>
                <w:rFonts w:ascii="Times New Roman" w:hAnsi="Times New Roman"/>
                <w:iCs/>
                <w:sz w:val="22"/>
                <w:szCs w:val="22"/>
              </w:rPr>
              <w:t xml:space="preserve"> </w:t>
            </w:r>
            <w:proofErr w:type="spellStart"/>
            <w:r>
              <w:rPr>
                <w:rStyle w:val="VarsaylanParagrafYazTipi1"/>
                <w:rFonts w:ascii="Times New Roman" w:hAnsi="Times New Roman"/>
                <w:iCs/>
                <w:sz w:val="22"/>
                <w:szCs w:val="22"/>
              </w:rPr>
              <w:t>geç</w:t>
            </w:r>
            <w:proofErr w:type="spellEnd"/>
            <w:r>
              <w:rPr>
                <w:rStyle w:val="VarsaylanParagrafYazTipi1"/>
                <w:rFonts w:ascii="Times New Roman" w:hAnsi="Times New Roman"/>
                <w:iCs/>
                <w:sz w:val="22"/>
                <w:szCs w:val="22"/>
              </w:rPr>
              <w:t xml:space="preserve"> on (10) </w:t>
            </w:r>
            <w:proofErr w:type="spellStart"/>
            <w:r>
              <w:rPr>
                <w:rStyle w:val="VarsaylanParagrafYazTipi1"/>
                <w:rFonts w:ascii="Times New Roman" w:hAnsi="Times New Roman"/>
                <w:iCs/>
                <w:sz w:val="22"/>
                <w:szCs w:val="22"/>
              </w:rPr>
              <w:t>gün</w:t>
            </w:r>
            <w:proofErr w:type="spellEnd"/>
            <w:r>
              <w:rPr>
                <w:rStyle w:val="VarsaylanParagrafYazTipi1"/>
                <w:rFonts w:ascii="Times New Roman" w:hAnsi="Times New Roman"/>
                <w:iCs/>
                <w:sz w:val="22"/>
                <w:szCs w:val="22"/>
              </w:rPr>
              <w:t xml:space="preserve"> </w:t>
            </w:r>
            <w:proofErr w:type="spellStart"/>
            <w:r>
              <w:rPr>
                <w:rStyle w:val="VarsaylanParagrafYazTipi1"/>
                <w:rFonts w:ascii="Times New Roman" w:hAnsi="Times New Roman"/>
                <w:iCs/>
                <w:sz w:val="22"/>
                <w:szCs w:val="22"/>
              </w:rPr>
              <w:t>önce</w:t>
            </w:r>
            <w:r>
              <w:rPr>
                <w:rStyle w:val="VarsaylanParagrafYazTipi1"/>
                <w:rFonts w:ascii="Times New Roman" w:hAnsi="Times New Roman"/>
                <w:iCs/>
                <w:sz w:val="22"/>
                <w:szCs w:val="22"/>
              </w:rPr>
              <w:t>sine</w:t>
            </w:r>
            <w:proofErr w:type="spellEnd"/>
            <w:r>
              <w:rPr>
                <w:rStyle w:val="VarsaylanParagrafYazTipi1"/>
                <w:rFonts w:ascii="Times New Roman" w:hAnsi="Times New Roman"/>
                <w:iCs/>
                <w:sz w:val="22"/>
                <w:szCs w:val="22"/>
              </w:rPr>
              <w:t xml:space="preserve"> </w:t>
            </w:r>
            <w:proofErr w:type="spellStart"/>
            <w:r>
              <w:rPr>
                <w:rStyle w:val="VarsaylanParagrafYazTipi1"/>
                <w:rFonts w:ascii="Times New Roman" w:hAnsi="Times New Roman"/>
                <w:iCs/>
                <w:sz w:val="22"/>
                <w:szCs w:val="22"/>
              </w:rPr>
              <w:t>kadar</w:t>
            </w:r>
            <w:proofErr w:type="spellEnd"/>
            <w:r>
              <w:rPr>
                <w:rStyle w:val="VarsaylanParagrafYazTipi1"/>
                <w:rFonts w:ascii="Times New Roman" w:hAnsi="Times New Roman"/>
                <w:iCs/>
                <w:sz w:val="22"/>
                <w:szCs w:val="22"/>
              </w:rPr>
              <w:t xml:space="preserve"> </w:t>
            </w:r>
            <w:r>
              <w:rPr>
                <w:rStyle w:val="VarsaylanParagrafYazTipi1"/>
                <w:rFonts w:ascii="Times New Roman" w:hAnsi="Times New Roman"/>
                <w:iCs/>
                <w:sz w:val="22"/>
                <w:szCs w:val="22"/>
                <w:lang w:val="tr-TR"/>
              </w:rPr>
              <w:t>yukarıda adresi verilen web sitesinde yayınlanacaktır.</w:t>
            </w:r>
            <w:r>
              <w:rPr>
                <w:rStyle w:val="VarsaylanParagrafYazTipi1"/>
                <w:rFonts w:ascii="Times New Roman" w:hAnsi="Times New Roman"/>
                <w:i/>
                <w:iCs/>
                <w:sz w:val="22"/>
                <w:szCs w:val="22"/>
                <w:lang w:val="tr-TR"/>
              </w:rPr>
              <w:t xml:space="preserve"> </w:t>
            </w:r>
          </w:p>
        </w:tc>
        <w:tc>
          <w:tcPr>
            <w:tcW w:w="4198" w:type="dxa"/>
            <w:shd w:val="clear" w:color="auto" w:fill="auto"/>
            <w:tcMar>
              <w:top w:w="0" w:type="dxa"/>
              <w:left w:w="10" w:type="dxa"/>
              <w:bottom w:w="0" w:type="dxa"/>
              <w:right w:w="10" w:type="dxa"/>
            </w:tcMar>
          </w:tcPr>
          <w:p w14:paraId="78FEFAF7" w14:textId="77777777" w:rsidR="00442AA5" w:rsidRDefault="00442AA5">
            <w:pPr>
              <w:pStyle w:val="Style7"/>
              <w:spacing w:line="240" w:lineRule="auto"/>
              <w:jc w:val="left"/>
            </w:pPr>
          </w:p>
        </w:tc>
      </w:tr>
      <w:tr w:rsidR="00442AA5" w14:paraId="1233B591" w14:textId="77777777">
        <w:tblPrEx>
          <w:tblCellMar>
            <w:top w:w="0" w:type="dxa"/>
            <w:bottom w:w="0" w:type="dxa"/>
          </w:tblCellMar>
        </w:tblPrEx>
        <w:tc>
          <w:tcPr>
            <w:tcW w:w="5440" w:type="dxa"/>
            <w:tcBorders>
              <w:left w:val="single" w:sz="2" w:space="0" w:color="000000"/>
              <w:bottom w:val="single" w:sz="4" w:space="0" w:color="000000"/>
            </w:tcBorders>
            <w:shd w:val="clear" w:color="auto" w:fill="auto"/>
            <w:tcMar>
              <w:top w:w="55" w:type="dxa"/>
              <w:left w:w="55" w:type="dxa"/>
              <w:bottom w:w="55" w:type="dxa"/>
              <w:right w:w="55" w:type="dxa"/>
            </w:tcMar>
          </w:tcPr>
          <w:p w14:paraId="2EE53450" w14:textId="77777777" w:rsidR="00442AA5" w:rsidRDefault="00FA0E01">
            <w:pPr>
              <w:pStyle w:val="TableContents"/>
              <w:rPr>
                <w:rFonts w:hint="eastAsia"/>
              </w:rPr>
            </w:pPr>
            <w:r>
              <w:rPr>
                <w:rFonts w:ascii="Times New Roman" w:hAnsi="Times New Roman"/>
                <w:sz w:val="22"/>
                <w:szCs w:val="22"/>
              </w:rPr>
              <w:t xml:space="preserve">Ön Yeterlik Bölüm III Başvuru Formları kapsamında, “Form 6: </w:t>
            </w:r>
            <w:r>
              <w:rPr>
                <w:rStyle w:val="VarsaylanParagrafYazTipi1"/>
                <w:rFonts w:ascii="Times New Roman" w:hAnsi="Times New Roman" w:cs="Arial"/>
                <w:sz w:val="22"/>
                <w:szCs w:val="22"/>
              </w:rPr>
              <w:t xml:space="preserve">Mevcut Uzman Listesi ve İnsan Kaynakları Kapasitesi başlığı altında yer alan açıklamada </w:t>
            </w:r>
            <w:proofErr w:type="gramStart"/>
            <w:r>
              <w:rPr>
                <w:rStyle w:val="VarsaylanParagrafYazTipi1"/>
                <w:rFonts w:ascii="Times New Roman" w:hAnsi="Times New Roman" w:cs="Arial"/>
                <w:sz w:val="22"/>
                <w:szCs w:val="22"/>
              </w:rPr>
              <w:t>“ ...</w:t>
            </w:r>
            <w:proofErr w:type="gramEnd"/>
            <w:r>
              <w:rPr>
                <w:rStyle w:val="VarsaylanParagrafYazTipi1"/>
                <w:rFonts w:ascii="Times New Roman" w:hAnsi="Times New Roman" w:cs="Arial"/>
                <w:sz w:val="22"/>
                <w:szCs w:val="22"/>
              </w:rPr>
              <w:t xml:space="preserve"> </w:t>
            </w:r>
            <w:r>
              <w:rPr>
                <w:rStyle w:val="VarsaylanParagrafYazTipi1"/>
                <w:rFonts w:ascii="Times New Roman" w:hAnsi="Times New Roman" w:cs="Arial"/>
                <w:i/>
                <w:iCs/>
                <w:sz w:val="22"/>
                <w:szCs w:val="22"/>
              </w:rPr>
              <w:t>Ön yeterlik değerlendirmesi sonuc</w:t>
            </w:r>
            <w:r>
              <w:rPr>
                <w:rStyle w:val="VarsaylanParagrafYazTipi1"/>
                <w:rFonts w:ascii="Times New Roman" w:hAnsi="Times New Roman" w:cs="Arial"/>
                <w:i/>
                <w:iCs/>
                <w:sz w:val="22"/>
                <w:szCs w:val="22"/>
              </w:rPr>
              <w:t>unda yeterli bulunan Başvuru Sahiplerinin aşağıda isimleri verilen personeli Teklife dahil etmelerinin gerekmediği anlaşılmaktadır.</w:t>
            </w:r>
            <w:r>
              <w:rPr>
                <w:rStyle w:val="VarsaylanParagrafYazTipi1"/>
                <w:rFonts w:ascii="Times New Roman" w:hAnsi="Times New Roman" w:cs="Arial"/>
                <w:sz w:val="22"/>
                <w:szCs w:val="22"/>
              </w:rPr>
              <w:t>” cümlesinden Ön Yeterlik aşamasında isimlerini ve bilgilerini paylaştığımız uzman listemizde yer alan kişileri, Teklif aşama</w:t>
            </w:r>
            <w:r>
              <w:rPr>
                <w:rStyle w:val="VarsaylanParagrafYazTipi1"/>
                <w:rFonts w:ascii="Times New Roman" w:hAnsi="Times New Roman" w:cs="Arial"/>
                <w:sz w:val="22"/>
                <w:szCs w:val="22"/>
              </w:rPr>
              <w:t>sında tekrar sunabileceğimiz anlamına mı gelmektedir?</w:t>
            </w:r>
          </w:p>
        </w:tc>
        <w:tc>
          <w:tcPr>
            <w:tcW w:w="419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14A77F" w14:textId="77777777" w:rsidR="00442AA5" w:rsidRDefault="00FA0E01">
            <w:pPr>
              <w:pStyle w:val="TableContents"/>
              <w:rPr>
                <w:rFonts w:hint="eastAsia"/>
              </w:rPr>
            </w:pPr>
            <w:r>
              <w:rPr>
                <w:rFonts w:ascii="Times New Roman" w:hAnsi="Times New Roman"/>
                <w:sz w:val="22"/>
                <w:szCs w:val="22"/>
              </w:rPr>
              <w:t xml:space="preserve">Ön yeterlik aşamasında, Ön Yeterlik Şartnamesi </w:t>
            </w:r>
            <w:r>
              <w:rPr>
                <w:rStyle w:val="VarsaylanParagrafYazTipi1"/>
                <w:rFonts w:ascii="Times New Roman" w:hAnsi="Times New Roman" w:cs="Arial"/>
                <w:sz w:val="22"/>
                <w:szCs w:val="22"/>
              </w:rPr>
              <w:t xml:space="preserve">Bölüm </w:t>
            </w:r>
            <w:proofErr w:type="gramStart"/>
            <w:r>
              <w:rPr>
                <w:rStyle w:val="VarsaylanParagrafYazTipi1"/>
                <w:rFonts w:ascii="Times New Roman" w:hAnsi="Times New Roman" w:cs="Arial"/>
                <w:sz w:val="22"/>
                <w:szCs w:val="22"/>
              </w:rPr>
              <w:t>III -</w:t>
            </w:r>
            <w:proofErr w:type="gramEnd"/>
            <w:r>
              <w:rPr>
                <w:rStyle w:val="VarsaylanParagrafYazTipi1"/>
                <w:rFonts w:ascii="Times New Roman" w:hAnsi="Times New Roman" w:cs="Arial"/>
                <w:sz w:val="22"/>
                <w:szCs w:val="22"/>
              </w:rPr>
              <w:t xml:space="preserve"> Başvuru Formları Form 6’da verilen açıklamada da belirtildiği üzere; mevcut uzman ve insan kaynakları kapasitesi kapsamında, İsteklile</w:t>
            </w:r>
            <w:r>
              <w:rPr>
                <w:rStyle w:val="VarsaylanParagrafYazTipi1"/>
                <w:rFonts w:ascii="Times New Roman" w:hAnsi="Times New Roman" w:cs="Arial"/>
                <w:sz w:val="22"/>
                <w:szCs w:val="22"/>
              </w:rPr>
              <w:t xml:space="preserve">rden, bu iş / GH / ÖH 1.6'da tanımlanan proje ekibi profilleri için gerekli olan uzmanlara ne ölçüde sahip olduklarını göstermeleri amacıyla Form 6’da yer alan listeyi doldurarak bilgi sunmaları istenmektedir. Bu nedenle; </w:t>
            </w:r>
            <w:proofErr w:type="gramStart"/>
            <w:r>
              <w:rPr>
                <w:rStyle w:val="VarsaylanParagrafYazTipi1"/>
                <w:rFonts w:ascii="Times New Roman" w:hAnsi="Times New Roman" w:cs="Arial"/>
                <w:sz w:val="22"/>
                <w:szCs w:val="22"/>
              </w:rPr>
              <w:t>“ ...</w:t>
            </w:r>
            <w:proofErr w:type="gramEnd"/>
            <w:r>
              <w:rPr>
                <w:rStyle w:val="VarsaylanParagrafYazTipi1"/>
                <w:rFonts w:ascii="Times New Roman" w:hAnsi="Times New Roman" w:cs="Arial"/>
                <w:sz w:val="22"/>
                <w:szCs w:val="22"/>
              </w:rPr>
              <w:t xml:space="preserve"> </w:t>
            </w:r>
            <w:r>
              <w:rPr>
                <w:rStyle w:val="VarsaylanParagrafYazTipi1"/>
                <w:rFonts w:ascii="Times New Roman" w:hAnsi="Times New Roman" w:cs="Arial"/>
                <w:i/>
                <w:iCs/>
                <w:sz w:val="22"/>
                <w:szCs w:val="22"/>
              </w:rPr>
              <w:t xml:space="preserve">Ön yeterlik </w:t>
            </w:r>
            <w:r>
              <w:rPr>
                <w:rStyle w:val="VarsaylanParagrafYazTipi1"/>
                <w:rFonts w:ascii="Times New Roman" w:hAnsi="Times New Roman" w:cs="Arial"/>
                <w:i/>
                <w:iCs/>
                <w:sz w:val="22"/>
                <w:szCs w:val="22"/>
              </w:rPr>
              <w:t>değerlendirmesi sonucunda yeterli bulunan Başvuru Sahiplerinin aşağıda isimleri verilen personeli Teklife dahil etmelerinin gerekmediği anlaşılmaktadır.</w:t>
            </w:r>
            <w:r>
              <w:rPr>
                <w:rStyle w:val="VarsaylanParagrafYazTipi1"/>
                <w:rFonts w:ascii="Times New Roman" w:hAnsi="Times New Roman" w:cs="Arial"/>
                <w:sz w:val="22"/>
                <w:szCs w:val="22"/>
              </w:rPr>
              <w:t>” ifadesine göre İsteklilerin Form 6’da yer alan mevcut uzman listesini ve/veya listede yer alan kişiler</w:t>
            </w:r>
            <w:r>
              <w:rPr>
                <w:rStyle w:val="VarsaylanParagrafYazTipi1"/>
                <w:rFonts w:ascii="Times New Roman" w:hAnsi="Times New Roman" w:cs="Arial"/>
                <w:sz w:val="22"/>
                <w:szCs w:val="22"/>
              </w:rPr>
              <w:t>i teklifte sunma zorunlulukları yoktur.</w:t>
            </w:r>
          </w:p>
        </w:tc>
        <w:tc>
          <w:tcPr>
            <w:tcW w:w="4198" w:type="dxa"/>
            <w:shd w:val="clear" w:color="auto" w:fill="auto"/>
            <w:tcMar>
              <w:top w:w="0" w:type="dxa"/>
              <w:left w:w="10" w:type="dxa"/>
              <w:bottom w:w="0" w:type="dxa"/>
              <w:right w:w="10" w:type="dxa"/>
            </w:tcMar>
          </w:tcPr>
          <w:p w14:paraId="756A8315" w14:textId="77777777" w:rsidR="00442AA5" w:rsidRDefault="00442AA5">
            <w:pPr>
              <w:pStyle w:val="TableContents"/>
              <w:rPr>
                <w:rFonts w:hint="eastAsia"/>
              </w:rPr>
            </w:pPr>
          </w:p>
        </w:tc>
      </w:tr>
      <w:tr w:rsidR="00442AA5" w14:paraId="42368702" w14:textId="77777777">
        <w:tblPrEx>
          <w:tblCellMar>
            <w:top w:w="0" w:type="dxa"/>
            <w:bottom w:w="0" w:type="dxa"/>
          </w:tblCellMar>
        </w:tblPrEx>
        <w:trPr>
          <w:trHeight w:val="367"/>
        </w:trPr>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C935BE"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Konu proje kapsamında yer alan FRIT-III-KFW-DH04 (IC1), FRIT-III-KFW-DH05 (IC2) ve FRIT-III-KFW-DH06 (IC3) olmak üzere toplamda 3 paket için Niyet Beyanı Başvurusunun, 3 pakete dair de paket isimlerini   içerir şek</w:t>
            </w:r>
            <w:r>
              <w:rPr>
                <w:rFonts w:ascii="Times New Roman" w:hAnsi="Times New Roman"/>
                <w:sz w:val="22"/>
                <w:szCs w:val="22"/>
              </w:rPr>
              <w:t>ilde tek bir başvuru dosyası halinde sunulabileceği düşünülmektedir. Doğrulanması.</w:t>
            </w:r>
          </w:p>
          <w:p w14:paraId="161FB176"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E7C3DF" w14:textId="77777777" w:rsidR="00442AA5" w:rsidRDefault="00FA0E01">
            <w:pPr>
              <w:pStyle w:val="TableContents"/>
              <w:rPr>
                <w:rFonts w:ascii="Times New Roman" w:hAnsi="Times New Roman"/>
                <w:sz w:val="22"/>
                <w:szCs w:val="22"/>
              </w:rPr>
            </w:pPr>
            <w:r>
              <w:rPr>
                <w:rFonts w:ascii="Times New Roman" w:hAnsi="Times New Roman"/>
                <w:sz w:val="22"/>
                <w:szCs w:val="22"/>
              </w:rPr>
              <w:t>FRIT-III-KFW-D04 (IC1), FRIT-III-KFW-D05 (IC2), FRIT-III-KFW-D06 (IC3) referans numaralı 3 paket danışmanlık işine ait Niyet Beyanları İstekliler tarafından tek bir dosyada</w:t>
            </w:r>
            <w:r>
              <w:rPr>
                <w:rFonts w:ascii="Times New Roman" w:hAnsi="Times New Roman"/>
                <w:sz w:val="22"/>
                <w:szCs w:val="22"/>
              </w:rPr>
              <w:t xml:space="preserve"> sunulabilir. Niyet Beyanları başvuru sahiplerinin ilgilendiği Paketlerin adını ve Referans numarasını açıkça belirtmelidir. Birden fazla iş için niyet beyanında bulunan isteklilerin yeterlilik dokümanındaki yeterlilik koşullarını karşılamaları gerekmekted</w:t>
            </w:r>
            <w:r>
              <w:rPr>
                <w:rFonts w:ascii="Times New Roman" w:hAnsi="Times New Roman"/>
                <w:sz w:val="22"/>
                <w:szCs w:val="22"/>
              </w:rPr>
              <w:t>ir.</w:t>
            </w:r>
          </w:p>
        </w:tc>
        <w:tc>
          <w:tcPr>
            <w:tcW w:w="4198" w:type="dxa"/>
            <w:shd w:val="clear" w:color="auto" w:fill="auto"/>
            <w:tcMar>
              <w:top w:w="0" w:type="dxa"/>
              <w:left w:w="10" w:type="dxa"/>
              <w:bottom w:w="0" w:type="dxa"/>
              <w:right w:w="10" w:type="dxa"/>
            </w:tcMar>
          </w:tcPr>
          <w:p w14:paraId="4E523134" w14:textId="77777777" w:rsidR="00442AA5" w:rsidRDefault="00442AA5">
            <w:pPr>
              <w:pStyle w:val="TableContents"/>
              <w:rPr>
                <w:rFonts w:ascii="Times New Roman" w:hAnsi="Times New Roman"/>
                <w:sz w:val="22"/>
                <w:szCs w:val="22"/>
              </w:rPr>
            </w:pPr>
          </w:p>
        </w:tc>
      </w:tr>
      <w:tr w:rsidR="00442AA5" w14:paraId="2B640CE9"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E63FE1"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Konu proje kapsamında yer alan FRIT-III-KFW-DH04 (IC1), FRIT-III-KFW-DH05 (IC2) ve FRIT-III-KFW-DH06 (IC3) olmak üzere toplamda 3 paket Niyet Beyanı Başvurusunun değerlendirme aşamasında, bir firmanın / ortak girişimin birden fazla pakete dosya </w:t>
            </w:r>
            <w:r>
              <w:rPr>
                <w:rFonts w:ascii="Times New Roman" w:hAnsi="Times New Roman"/>
                <w:sz w:val="22"/>
                <w:szCs w:val="22"/>
              </w:rPr>
              <w:t>vermesi ve yeterli bulunması halinde birden fazla paketin kısa listesine kalabileceği düşünülmektedir. Doğrulanması.</w:t>
            </w:r>
          </w:p>
          <w:p w14:paraId="5C2D60A5"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E185D6" w14:textId="77777777" w:rsidR="00442AA5" w:rsidRDefault="00FA0E01">
            <w:pPr>
              <w:spacing w:before="120" w:after="120"/>
              <w:rPr>
                <w:rFonts w:hint="eastAsia"/>
              </w:rPr>
            </w:pPr>
            <w:r>
              <w:rPr>
                <w:rFonts w:ascii="Times New Roman" w:hAnsi="Times New Roman"/>
                <w:sz w:val="22"/>
                <w:szCs w:val="22"/>
              </w:rPr>
              <w:t xml:space="preserve">Ön Yeterlik Şartnamesi </w:t>
            </w:r>
            <w:r>
              <w:rPr>
                <w:rStyle w:val="VarsaylanParagrafYazTipi1"/>
                <w:rFonts w:ascii="Times New Roman" w:hAnsi="Times New Roman" w:cs="Arial"/>
                <w:sz w:val="22"/>
                <w:szCs w:val="22"/>
              </w:rPr>
              <w:t>Bölüm II – Özel Hükümler Madde 1.1.1 “</w:t>
            </w:r>
            <w:r>
              <w:rPr>
                <w:rFonts w:ascii="Times New Roman" w:hAnsi="Times New Roman"/>
                <w:i/>
                <w:sz w:val="22"/>
                <w:szCs w:val="22"/>
              </w:rPr>
              <w:t>Bu ihale süreci kapsamında üç paket yer almaktadır. Başvuru sahipleri bu ön y</w:t>
            </w:r>
            <w:r>
              <w:rPr>
                <w:rFonts w:ascii="Times New Roman" w:hAnsi="Times New Roman"/>
                <w:i/>
                <w:sz w:val="22"/>
                <w:szCs w:val="22"/>
              </w:rPr>
              <w:t xml:space="preserve">eterlik belgelerinde sayılan kriterlere göre bir, iki veya her üç paket için de başvuruda bulunabilirler. </w:t>
            </w:r>
          </w:p>
          <w:p w14:paraId="0DD8522A" w14:textId="77777777" w:rsidR="00442AA5" w:rsidRDefault="00FA0E01">
            <w:pPr>
              <w:spacing w:before="120" w:after="120"/>
              <w:rPr>
                <w:rFonts w:hint="eastAsia"/>
              </w:rPr>
            </w:pPr>
            <w:r>
              <w:rPr>
                <w:rFonts w:ascii="Times New Roman" w:hAnsi="Times New Roman"/>
                <w:i/>
                <w:sz w:val="22"/>
                <w:szCs w:val="22"/>
              </w:rPr>
              <w:t xml:space="preserve">ÖY prosedürü sonucunda, üç ayrı sözleşme için, TVD aşamasında tekliflerini sunmaya davet edilecek olan, yeterli bulunan Danışmanlara ilişkin üç kısa </w:t>
            </w:r>
            <w:r>
              <w:rPr>
                <w:rFonts w:ascii="Times New Roman" w:hAnsi="Times New Roman"/>
                <w:i/>
                <w:sz w:val="22"/>
                <w:szCs w:val="22"/>
              </w:rPr>
              <w:t xml:space="preserve">liste oluşturulacaktır. ÖY şartlarını karşılama konusundaki uygunluklarına bağlı olarak, Danışmanlar başvuruda bulundukları bir </w:t>
            </w:r>
            <w:r>
              <w:rPr>
                <w:rFonts w:ascii="Times New Roman" w:hAnsi="Times New Roman"/>
                <w:i/>
                <w:sz w:val="22"/>
                <w:szCs w:val="22"/>
              </w:rPr>
              <w:lastRenderedPageBreak/>
              <w:t>veya daha fazla paket için kısa listeye alınabilirler. Bu aşamada Danışmanlar tekliflerini sunmak için, kısa listesine alınmış o</w:t>
            </w:r>
            <w:r>
              <w:rPr>
                <w:rFonts w:ascii="Times New Roman" w:hAnsi="Times New Roman"/>
                <w:i/>
                <w:sz w:val="22"/>
                <w:szCs w:val="22"/>
              </w:rPr>
              <w:t xml:space="preserve">ldukları spesifik paketleri seçmekte serbest olacaktır.”  Hükmü gereği </w:t>
            </w:r>
            <w:r>
              <w:rPr>
                <w:rFonts w:ascii="Times New Roman" w:hAnsi="Times New Roman"/>
                <w:sz w:val="22"/>
                <w:szCs w:val="22"/>
              </w:rPr>
              <w:t xml:space="preserve">toplamda 3 paket Niyet Beyanı Başvurusunun değerlendirme aşamasında, bir firma / ortak girişim, birden fazla pakete dosya vermesi ve yeterli bulunması halinde birden fazla paketin kısa </w:t>
            </w:r>
            <w:r>
              <w:rPr>
                <w:rFonts w:ascii="Times New Roman" w:hAnsi="Times New Roman"/>
                <w:sz w:val="22"/>
                <w:szCs w:val="22"/>
              </w:rPr>
              <w:t>listesine kalabilecektir.</w:t>
            </w:r>
          </w:p>
          <w:p w14:paraId="3ED4CC8E" w14:textId="77777777" w:rsidR="00442AA5" w:rsidRDefault="00442AA5">
            <w:pPr>
              <w:pStyle w:val="TableContents"/>
              <w:rPr>
                <w:rFonts w:ascii="Times New Roman" w:hAnsi="Times New Roman"/>
                <w:sz w:val="22"/>
                <w:szCs w:val="22"/>
              </w:rPr>
            </w:pPr>
          </w:p>
        </w:tc>
        <w:tc>
          <w:tcPr>
            <w:tcW w:w="4198" w:type="dxa"/>
            <w:tcBorders>
              <w:left w:val="single" w:sz="4" w:space="0" w:color="000000"/>
            </w:tcBorders>
            <w:shd w:val="clear" w:color="auto" w:fill="auto"/>
            <w:tcMar>
              <w:top w:w="0" w:type="dxa"/>
              <w:left w:w="10" w:type="dxa"/>
              <w:bottom w:w="0" w:type="dxa"/>
              <w:right w:w="10" w:type="dxa"/>
            </w:tcMar>
          </w:tcPr>
          <w:p w14:paraId="04B83F61" w14:textId="77777777" w:rsidR="00442AA5" w:rsidRDefault="00442AA5">
            <w:pPr>
              <w:pStyle w:val="TableContents"/>
              <w:rPr>
                <w:rFonts w:ascii="Times New Roman" w:hAnsi="Times New Roman"/>
                <w:sz w:val="22"/>
                <w:szCs w:val="22"/>
              </w:rPr>
            </w:pPr>
          </w:p>
        </w:tc>
      </w:tr>
      <w:tr w:rsidR="00442AA5" w14:paraId="1978FBC8"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0019D"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“ÖN YETERLİLİK 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başlığının “4.2 DEĞERLENDİRME” maddesinin 4.2.1. fıkrasında yer alan tablonun başvuru yeterlilik kriteri olduğu, paket bazında başvuru yapan ve </w:t>
            </w:r>
            <w:r>
              <w:rPr>
                <w:rFonts w:ascii="Times New Roman" w:hAnsi="Times New Roman"/>
                <w:sz w:val="22"/>
                <w:szCs w:val="22"/>
              </w:rPr>
              <w:t>yeterlik kriterine sahip firma / ortak girişim sayısının 8’den fazla aday olması halinde ise 4.2.2 fıkrasında yer alan tabloda belirtilen puanlamaya ilişkin değerlendirmeye yapılarak kısa listenin belirleneceği anlaşılmaktadır. Doğrulanması.</w:t>
            </w:r>
          </w:p>
          <w:p w14:paraId="705ABC00"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EB2F47" w14:textId="77777777" w:rsidR="00442AA5" w:rsidRDefault="00FA0E01">
            <w:pPr>
              <w:pStyle w:val="TableContents"/>
              <w:rPr>
                <w:rFonts w:hint="eastAsia"/>
              </w:rPr>
            </w:pPr>
            <w:r>
              <w:rPr>
                <w:rStyle w:val="VarsaylanParagrafYazTipi1"/>
                <w:rFonts w:cs="Arial"/>
              </w:rPr>
              <w:t>Ön Yeterlik Ş</w:t>
            </w:r>
            <w:r>
              <w:rPr>
                <w:rStyle w:val="VarsaylanParagrafYazTipi1"/>
                <w:rFonts w:cs="Arial"/>
              </w:rPr>
              <w:t xml:space="preserve">artnamesi </w:t>
            </w:r>
            <w:r>
              <w:rPr>
                <w:rStyle w:val="VarsaylanParagrafYazTipi1"/>
                <w:rFonts w:ascii="Times New Roman" w:hAnsi="Times New Roman" w:cs="Arial"/>
                <w:sz w:val="22"/>
                <w:szCs w:val="22"/>
              </w:rPr>
              <w:t>Bölüm II – Özel Hükümler Madde 4.2.1 ile Bölüm I – Genel Hükümler Madde 4.2.1’de yer alan kriterleri karşılayan başvuru sahipleri, Bölüm II – Özel Hükümler Madde 4.2.2’de yer alan kriterlere ve puanlama sistemine uygun olarak değerlendirilecektir</w:t>
            </w:r>
            <w:r>
              <w:rPr>
                <w:rStyle w:val="VarsaylanParagrafYazTipi1"/>
                <w:rFonts w:ascii="Times New Roman" w:hAnsi="Times New Roman" w:cs="Arial"/>
                <w:sz w:val="22"/>
                <w:szCs w:val="22"/>
              </w:rPr>
              <w:t>. Bölüm II – Özel Hükümler Madde 4.2.5 gereği; Ön Yeterlik değerlendirmesi sonucu yeterli bulunan ve Teklif vermeye davet edilecek Başvuru Sahibi sayısı sekiz (8) ile sınırlıdır.</w:t>
            </w:r>
          </w:p>
        </w:tc>
        <w:tc>
          <w:tcPr>
            <w:tcW w:w="4198" w:type="dxa"/>
            <w:tcBorders>
              <w:left w:val="single" w:sz="4" w:space="0" w:color="000000"/>
            </w:tcBorders>
            <w:shd w:val="clear" w:color="auto" w:fill="auto"/>
            <w:tcMar>
              <w:top w:w="0" w:type="dxa"/>
              <w:left w:w="10" w:type="dxa"/>
              <w:bottom w:w="0" w:type="dxa"/>
              <w:right w:w="10" w:type="dxa"/>
            </w:tcMar>
          </w:tcPr>
          <w:p w14:paraId="5081AA8E" w14:textId="77777777" w:rsidR="00442AA5" w:rsidRDefault="00442AA5">
            <w:pPr>
              <w:pStyle w:val="TableContents"/>
              <w:rPr>
                <w:rFonts w:ascii="Times New Roman" w:hAnsi="Times New Roman"/>
                <w:sz w:val="22"/>
                <w:szCs w:val="22"/>
              </w:rPr>
            </w:pPr>
          </w:p>
        </w:tc>
      </w:tr>
      <w:tr w:rsidR="00442AA5" w14:paraId="64337D82"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5FD43D"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“ÖN YETERLİLİK 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w:t>
            </w:r>
            <w:r>
              <w:rPr>
                <w:rFonts w:ascii="Times New Roman" w:hAnsi="Times New Roman"/>
                <w:sz w:val="22"/>
                <w:szCs w:val="22"/>
              </w:rPr>
              <w:t xml:space="preserve">ığının “4.2 DEĞERLENDİRME” maddesinin 4.2.2 fıkrasının 1. bendinin 1.1, 1.2 ve 1.3 alt bentlerine istinaden, niyet beyanı başvurularında firma / ortak girişimlerin eşit sayıda referans sunması halinde, sıralamanın hangi kritere (proje bedeli, proje alanı) </w:t>
            </w:r>
            <w:r>
              <w:rPr>
                <w:rFonts w:ascii="Times New Roman" w:hAnsi="Times New Roman"/>
                <w:sz w:val="22"/>
                <w:szCs w:val="22"/>
              </w:rPr>
              <w:t>göre yapılacağına ile ilgili gerekli açıklamanın yapılması.</w:t>
            </w:r>
          </w:p>
          <w:p w14:paraId="645E04EB"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EFA6A2" w14:textId="77777777" w:rsidR="00442AA5" w:rsidRDefault="00FA0E01">
            <w:pPr>
              <w:rPr>
                <w:rFonts w:hint="eastAsia"/>
              </w:rPr>
            </w:pPr>
            <w:r>
              <w:rPr>
                <w:rFonts w:ascii="Times New Roman" w:hAnsi="Times New Roman"/>
                <w:sz w:val="22"/>
                <w:szCs w:val="22"/>
              </w:rPr>
              <w:t>Teknik ve diğer tüm yeterlilikler gözetilerek komisyon tarafından değerlendirme yapılacaktır.</w:t>
            </w:r>
          </w:p>
        </w:tc>
        <w:tc>
          <w:tcPr>
            <w:tcW w:w="4198" w:type="dxa"/>
            <w:tcBorders>
              <w:left w:val="single" w:sz="4" w:space="0" w:color="000000"/>
            </w:tcBorders>
            <w:shd w:val="clear" w:color="auto" w:fill="auto"/>
            <w:tcMar>
              <w:top w:w="0" w:type="dxa"/>
              <w:left w:w="10" w:type="dxa"/>
              <w:bottom w:w="0" w:type="dxa"/>
              <w:right w:w="10" w:type="dxa"/>
            </w:tcMar>
          </w:tcPr>
          <w:p w14:paraId="55D8409C" w14:textId="77777777" w:rsidR="00442AA5" w:rsidRDefault="00442AA5">
            <w:pPr>
              <w:pStyle w:val="TableContents"/>
              <w:rPr>
                <w:rFonts w:ascii="Times New Roman" w:hAnsi="Times New Roman"/>
                <w:sz w:val="22"/>
                <w:szCs w:val="22"/>
              </w:rPr>
            </w:pPr>
          </w:p>
        </w:tc>
      </w:tr>
      <w:tr w:rsidR="00442AA5" w14:paraId="1737E1BC"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62C017"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“ÖN YETERLİLİK 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başlığının “4.2 DEĞERLENDİRM</w:t>
            </w:r>
            <w:r>
              <w:rPr>
                <w:rFonts w:ascii="Times New Roman" w:hAnsi="Times New Roman"/>
                <w:sz w:val="22"/>
                <w:szCs w:val="22"/>
              </w:rPr>
              <w:t xml:space="preserve">E” maddesinin 4.2.2 fıkrasının 1. Bendinde aşağıdaki ifade yer almaktadır: </w:t>
            </w:r>
          </w:p>
          <w:p w14:paraId="3570005B" w14:textId="77777777" w:rsidR="00442AA5" w:rsidRDefault="00FA0E01">
            <w:pPr>
              <w:spacing w:after="120"/>
              <w:ind w:left="283" w:right="96"/>
              <w:jc w:val="both"/>
              <w:rPr>
                <w:rFonts w:hint="eastAsia"/>
              </w:rPr>
            </w:pPr>
            <w:r>
              <w:rPr>
                <w:rFonts w:ascii="Times New Roman" w:hAnsi="Times New Roman"/>
                <w:i/>
                <w:iCs/>
                <w:sz w:val="22"/>
                <w:szCs w:val="22"/>
              </w:rPr>
              <w:t xml:space="preserve">“1.2 Anaokulları, okullar, üniversite binaları, kamu binaları gibi yukarıda tanımlanan hizmetlere benzer inşaat yapıları için </w:t>
            </w:r>
            <w:r>
              <w:rPr>
                <w:rFonts w:ascii="Times New Roman" w:hAnsi="Times New Roman"/>
                <w:i/>
                <w:iCs/>
                <w:sz w:val="22"/>
                <w:szCs w:val="22"/>
                <w:u w:val="single"/>
              </w:rPr>
              <w:t>tasarım ve tasarım gözden geçirmelerinin</w:t>
            </w:r>
            <w:r>
              <w:rPr>
                <w:rFonts w:ascii="Times New Roman" w:hAnsi="Times New Roman"/>
                <w:i/>
                <w:iCs/>
                <w:sz w:val="22"/>
                <w:szCs w:val="22"/>
              </w:rPr>
              <w:t xml:space="preserve"> </w:t>
            </w:r>
            <w:r>
              <w:rPr>
                <w:rFonts w:ascii="Times New Roman" w:hAnsi="Times New Roman"/>
                <w:i/>
                <w:iCs/>
                <w:sz w:val="22"/>
                <w:szCs w:val="22"/>
              </w:rPr>
              <w:t>Hazırlanmasında Spesifik Deneyim ve bu gibi işlerde son 5 yıl içerisindeki inşaat kontrollük hizmetleri deneyimi”</w:t>
            </w:r>
          </w:p>
          <w:p w14:paraId="24CA8045" w14:textId="77777777" w:rsidR="00442AA5" w:rsidRDefault="00FA0E01">
            <w:pPr>
              <w:spacing w:after="120"/>
              <w:ind w:right="96"/>
              <w:jc w:val="both"/>
              <w:rPr>
                <w:rFonts w:hint="eastAsia"/>
              </w:rPr>
            </w:pPr>
            <w:r>
              <w:rPr>
                <w:rFonts w:ascii="Times New Roman" w:hAnsi="Times New Roman"/>
                <w:sz w:val="22"/>
                <w:szCs w:val="22"/>
              </w:rPr>
              <w:t xml:space="preserve">Danışman olarak aynı projede hem tasarım hem de tasarım gözden geçirme yapılamayacağı için “tasarım ve tasarım gözden geçirme” ifadesi yerine </w:t>
            </w:r>
            <w:r>
              <w:rPr>
                <w:rFonts w:ascii="Times New Roman" w:hAnsi="Times New Roman"/>
                <w:sz w:val="22"/>
                <w:szCs w:val="22"/>
              </w:rPr>
              <w:t xml:space="preserve">“tasarım </w:t>
            </w:r>
            <w:r>
              <w:rPr>
                <w:rFonts w:ascii="Times New Roman" w:hAnsi="Times New Roman"/>
                <w:b/>
                <w:bCs/>
                <w:sz w:val="22"/>
                <w:szCs w:val="22"/>
              </w:rPr>
              <w:t>veya</w:t>
            </w:r>
            <w:r>
              <w:rPr>
                <w:rFonts w:ascii="Times New Roman" w:hAnsi="Times New Roman"/>
                <w:sz w:val="22"/>
                <w:szCs w:val="22"/>
              </w:rPr>
              <w:t xml:space="preserve"> tasarım gözden geçirme” olması gerektiği düşünülmektedir. Doğrulanması</w:t>
            </w:r>
          </w:p>
          <w:p w14:paraId="07A7AF69"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01088A" w14:textId="77777777" w:rsidR="00442AA5" w:rsidRDefault="00FA0E01">
            <w:pPr>
              <w:pStyle w:val="TableContents"/>
              <w:rPr>
                <w:rFonts w:hint="eastAsia"/>
              </w:rPr>
            </w:pPr>
            <w:r>
              <w:rPr>
                <w:rStyle w:val="VarsaylanParagrafYazTipi1"/>
                <w:rFonts w:cs="Arial"/>
              </w:rPr>
              <w:t xml:space="preserve">Ön Yeterlik Şartnamesi </w:t>
            </w:r>
            <w:r>
              <w:rPr>
                <w:rStyle w:val="VarsaylanParagrafYazTipi1"/>
                <w:rFonts w:ascii="Times New Roman" w:hAnsi="Times New Roman" w:cs="Arial"/>
                <w:sz w:val="22"/>
                <w:szCs w:val="22"/>
              </w:rPr>
              <w:t xml:space="preserve">Bölüm II – Özel Hükümler </w:t>
            </w:r>
            <w:r>
              <w:rPr>
                <w:rFonts w:ascii="Times New Roman" w:hAnsi="Times New Roman"/>
                <w:sz w:val="22"/>
                <w:szCs w:val="22"/>
              </w:rPr>
              <w:t xml:space="preserve">başlığının “4.2 DEĞERLENDİRME” maddesinin 4.2.2 fıkrasının 1. Bendinde yer alan </w:t>
            </w:r>
          </w:p>
          <w:p w14:paraId="0DB17538" w14:textId="77777777" w:rsidR="00442AA5" w:rsidRDefault="00FA0E01">
            <w:pPr>
              <w:spacing w:after="120"/>
              <w:ind w:left="283" w:right="96"/>
              <w:jc w:val="both"/>
              <w:rPr>
                <w:rFonts w:hint="eastAsia"/>
              </w:rPr>
            </w:pPr>
            <w:r>
              <w:rPr>
                <w:rFonts w:ascii="Times New Roman" w:hAnsi="Times New Roman"/>
                <w:i/>
                <w:iCs/>
                <w:sz w:val="22"/>
                <w:szCs w:val="22"/>
              </w:rPr>
              <w:t xml:space="preserve">“1.2 Anaokulları, okullar, </w:t>
            </w:r>
            <w:r>
              <w:rPr>
                <w:rFonts w:ascii="Times New Roman" w:hAnsi="Times New Roman"/>
                <w:i/>
                <w:iCs/>
                <w:sz w:val="22"/>
                <w:szCs w:val="22"/>
              </w:rPr>
              <w:t xml:space="preserve">üniversite binaları, kamu binaları gibi yukarıda tanımlanan hizmetlere benzer inşaat yapıları için </w:t>
            </w:r>
            <w:r>
              <w:rPr>
                <w:rFonts w:ascii="Times New Roman" w:hAnsi="Times New Roman"/>
                <w:i/>
                <w:iCs/>
                <w:sz w:val="22"/>
                <w:szCs w:val="22"/>
                <w:u w:val="single"/>
              </w:rPr>
              <w:t>tasarım ve tasarım gözden geçirmelerinin</w:t>
            </w:r>
            <w:r>
              <w:rPr>
                <w:rFonts w:ascii="Times New Roman" w:hAnsi="Times New Roman"/>
                <w:i/>
                <w:iCs/>
                <w:sz w:val="22"/>
                <w:szCs w:val="22"/>
              </w:rPr>
              <w:t xml:space="preserve"> Hazırlanmasında Spesifik Deneyim ve bu gibi işlerde son 5 yıl içerisindeki inşaat kontrollük hizmetleri deneyimi”</w:t>
            </w:r>
          </w:p>
          <w:p w14:paraId="6BEAAC13" w14:textId="77777777" w:rsidR="00442AA5" w:rsidRDefault="00FA0E01">
            <w:pPr>
              <w:pStyle w:val="TableContents"/>
              <w:rPr>
                <w:rFonts w:hint="eastAsia"/>
              </w:rPr>
            </w:pPr>
            <w:r>
              <w:rPr>
                <w:rFonts w:ascii="Times New Roman" w:hAnsi="Times New Roman"/>
                <w:sz w:val="22"/>
                <w:szCs w:val="22"/>
              </w:rPr>
              <w:t>İf</w:t>
            </w:r>
            <w:r>
              <w:rPr>
                <w:rFonts w:ascii="Times New Roman" w:hAnsi="Times New Roman"/>
                <w:sz w:val="22"/>
                <w:szCs w:val="22"/>
              </w:rPr>
              <w:t>adesi “</w:t>
            </w:r>
            <w:proofErr w:type="gramStart"/>
            <w:r>
              <w:rPr>
                <w:rFonts w:ascii="Times New Roman" w:hAnsi="Times New Roman"/>
                <w:sz w:val="22"/>
                <w:szCs w:val="22"/>
              </w:rPr>
              <w:t>tasarım  ve</w:t>
            </w:r>
            <w:proofErr w:type="gramEnd"/>
            <w:r>
              <w:rPr>
                <w:rFonts w:ascii="Times New Roman" w:hAnsi="Times New Roman"/>
                <w:sz w:val="22"/>
                <w:szCs w:val="22"/>
              </w:rPr>
              <w:t xml:space="preserve">/veya tasarım gözden geçirme” şeklinde düzeltilmiştir.  </w:t>
            </w:r>
          </w:p>
        </w:tc>
        <w:tc>
          <w:tcPr>
            <w:tcW w:w="4198" w:type="dxa"/>
            <w:tcBorders>
              <w:left w:val="single" w:sz="4" w:space="0" w:color="000000"/>
            </w:tcBorders>
            <w:shd w:val="clear" w:color="auto" w:fill="auto"/>
            <w:tcMar>
              <w:top w:w="0" w:type="dxa"/>
              <w:left w:w="10" w:type="dxa"/>
              <w:bottom w:w="0" w:type="dxa"/>
              <w:right w:w="10" w:type="dxa"/>
            </w:tcMar>
          </w:tcPr>
          <w:p w14:paraId="24D840BA" w14:textId="77777777" w:rsidR="00442AA5" w:rsidRDefault="00442AA5">
            <w:pPr>
              <w:pStyle w:val="TableContents"/>
              <w:rPr>
                <w:rFonts w:ascii="Times New Roman" w:hAnsi="Times New Roman"/>
                <w:sz w:val="22"/>
                <w:szCs w:val="22"/>
              </w:rPr>
            </w:pPr>
          </w:p>
        </w:tc>
      </w:tr>
      <w:tr w:rsidR="00442AA5" w14:paraId="1FD0DF8D"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DBABAF"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“ÖN YETERLİLİK 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başlığının “4.2 DEĞERLENDİRME” maddesinin 4.2.1. fıkrasında yer alan tabloda aşağıdaki ifade yer almaktadır:</w:t>
            </w:r>
          </w:p>
          <w:p w14:paraId="67562FDD"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lastRenderedPageBreak/>
              <w:t>“Benzeri üst yapı inşaat işlerinde inşaat kontrolörlüğünde danışmanlık hizmetleri deneyimi, son beş yılın toplamı.”</w:t>
            </w:r>
          </w:p>
          <w:p w14:paraId="70772293" w14:textId="77777777" w:rsidR="00442AA5" w:rsidRDefault="00FA0E01">
            <w:pPr>
              <w:spacing w:after="120"/>
              <w:ind w:right="96"/>
              <w:jc w:val="both"/>
              <w:rPr>
                <w:rFonts w:hint="eastAsia"/>
              </w:rPr>
            </w:pPr>
            <w:r>
              <w:rPr>
                <w:rFonts w:ascii="Times New Roman" w:hAnsi="Times New Roman"/>
                <w:sz w:val="22"/>
                <w:szCs w:val="22"/>
              </w:rPr>
              <w:t xml:space="preserve">Yukarıdaki ifadeden İdareniz tarafından benzer deneyim olarak “anaokulları, okullar, üniversite binaları, kamu binaları” gibi kamu </w:t>
            </w:r>
            <w:r>
              <w:rPr>
                <w:rFonts w:ascii="Times New Roman" w:hAnsi="Times New Roman"/>
                <w:sz w:val="22"/>
                <w:szCs w:val="22"/>
              </w:rPr>
              <w:t xml:space="preserve">yapılarının kabul edileceği anlaşılmaktadır. </w:t>
            </w:r>
            <w:r>
              <w:rPr>
                <w:rFonts w:ascii="Times New Roman" w:hAnsi="Times New Roman"/>
                <w:sz w:val="22"/>
                <w:szCs w:val="22"/>
                <w:u w:val="single"/>
              </w:rPr>
              <w:t>Herhangi bir konut projesine ait inşaat kontrolörlüğünde danışmanlık hizmetlerinin</w:t>
            </w:r>
            <w:r>
              <w:rPr>
                <w:rFonts w:ascii="Times New Roman" w:hAnsi="Times New Roman"/>
                <w:sz w:val="22"/>
                <w:szCs w:val="22"/>
              </w:rPr>
              <w:t xml:space="preserve"> benzer deneyim olarak kabul edilmeyeceği anlaşılmaktadır. Doğrulanması  </w:t>
            </w:r>
          </w:p>
          <w:p w14:paraId="257653D2"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7A60DA" w14:textId="77777777" w:rsidR="00442AA5" w:rsidRDefault="00FA0E01">
            <w:pPr>
              <w:pStyle w:val="TableContents"/>
              <w:rPr>
                <w:rFonts w:hint="eastAsia"/>
              </w:rPr>
            </w:pPr>
            <w:r>
              <w:rPr>
                <w:rFonts w:ascii="Times New Roman" w:hAnsi="Times New Roman"/>
                <w:sz w:val="22"/>
                <w:szCs w:val="22"/>
              </w:rPr>
              <w:lastRenderedPageBreak/>
              <w:t xml:space="preserve">Benzer üst yapı inşaat işleri, Ön Yeterlik Şartnamesi </w:t>
            </w:r>
            <w:r>
              <w:t xml:space="preserve">Bölüm II – Özel Hükümler Madde 4.2.1 Yeterlik Kriterleri </w:t>
            </w:r>
            <w:r>
              <w:rPr>
                <w:rFonts w:ascii="Times New Roman" w:hAnsi="Times New Roman"/>
                <w:sz w:val="22"/>
                <w:szCs w:val="22"/>
              </w:rPr>
              <w:t xml:space="preserve">1.2 bendinde yer </w:t>
            </w:r>
            <w:proofErr w:type="gramStart"/>
            <w:r>
              <w:rPr>
                <w:rFonts w:ascii="Times New Roman" w:hAnsi="Times New Roman"/>
                <w:sz w:val="22"/>
                <w:szCs w:val="22"/>
              </w:rPr>
              <w:t>alan  “</w:t>
            </w:r>
            <w:proofErr w:type="gramEnd"/>
            <w:r>
              <w:rPr>
                <w:rFonts w:ascii="Times New Roman" w:hAnsi="Times New Roman"/>
                <w:i/>
                <w:sz w:val="22"/>
                <w:szCs w:val="22"/>
              </w:rPr>
              <w:t xml:space="preserve">Anaokulları, okullar, üniversite binaları, kamu binaları gibi </w:t>
            </w:r>
            <w:r>
              <w:rPr>
                <w:rFonts w:ascii="Times New Roman" w:hAnsi="Times New Roman"/>
                <w:i/>
                <w:sz w:val="22"/>
                <w:szCs w:val="22"/>
              </w:rPr>
              <w:lastRenderedPageBreak/>
              <w:t>yukarıda tanımlanan hizmetlere benzer inşaat yapıları için tasarım ve tasarım gözden geçirmelerinin Hazırlanmasın</w:t>
            </w:r>
            <w:r>
              <w:rPr>
                <w:rFonts w:ascii="Times New Roman" w:hAnsi="Times New Roman"/>
                <w:i/>
                <w:sz w:val="22"/>
                <w:szCs w:val="22"/>
              </w:rPr>
              <w:t>da Spesifik Deneyim ve bu gibi işlerde son 5 yıl içerisindeki inşaat kontrollük hizmetleri deneyimi</w:t>
            </w:r>
            <w:r>
              <w:rPr>
                <w:rFonts w:ascii="Times New Roman" w:hAnsi="Times New Roman"/>
                <w:sz w:val="22"/>
                <w:szCs w:val="22"/>
              </w:rPr>
              <w:t>” ifadesine göre değerlendirilecektir.</w:t>
            </w:r>
          </w:p>
          <w:p w14:paraId="3CE26290" w14:textId="77777777" w:rsidR="00442AA5" w:rsidRDefault="00FA0E01">
            <w:pPr>
              <w:pStyle w:val="TableContents"/>
              <w:rPr>
                <w:rFonts w:hint="eastAsia"/>
              </w:rPr>
            </w:pPr>
            <w:r>
              <w:rPr>
                <w:rFonts w:ascii="Arial" w:hAnsi="Arial" w:cs="Arial"/>
                <w:sz w:val="22"/>
                <w:szCs w:val="22"/>
                <w:lang w:val="tr"/>
              </w:rPr>
              <w:t xml:space="preserve"> </w:t>
            </w:r>
          </w:p>
        </w:tc>
        <w:tc>
          <w:tcPr>
            <w:tcW w:w="4198" w:type="dxa"/>
            <w:tcBorders>
              <w:left w:val="single" w:sz="4" w:space="0" w:color="000000"/>
            </w:tcBorders>
            <w:shd w:val="clear" w:color="auto" w:fill="auto"/>
            <w:tcMar>
              <w:top w:w="0" w:type="dxa"/>
              <w:left w:w="10" w:type="dxa"/>
              <w:bottom w:w="0" w:type="dxa"/>
              <w:right w:w="10" w:type="dxa"/>
            </w:tcMar>
          </w:tcPr>
          <w:p w14:paraId="53EC0035" w14:textId="77777777" w:rsidR="00442AA5" w:rsidRDefault="00442AA5">
            <w:pPr>
              <w:pStyle w:val="TableContents"/>
              <w:rPr>
                <w:rFonts w:ascii="Times New Roman" w:hAnsi="Times New Roman"/>
                <w:sz w:val="22"/>
                <w:szCs w:val="22"/>
              </w:rPr>
            </w:pPr>
          </w:p>
        </w:tc>
      </w:tr>
      <w:tr w:rsidR="00442AA5" w14:paraId="1A258D12"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1CE616"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“ÖN YETERLİLİK 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başlığının “4.2 DEĞERLENDİRME” maddesinin 4</w:t>
            </w:r>
            <w:r>
              <w:rPr>
                <w:rFonts w:ascii="Times New Roman" w:hAnsi="Times New Roman"/>
                <w:sz w:val="22"/>
                <w:szCs w:val="22"/>
              </w:rPr>
              <w:t>.2.1. fıkrasında yer alan tabloda aşağıdaki ifade yer almaktadır:</w:t>
            </w:r>
          </w:p>
          <w:p w14:paraId="0EB3A6DF"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“Benzeri üst yapı inşaat işlerinde inşaat kontrolörlüğünde danışmanlık hizmetleri deneyimi, son beş yılın toplamı.”</w:t>
            </w:r>
          </w:p>
          <w:p w14:paraId="1D157A6D" w14:textId="77777777" w:rsidR="00442AA5" w:rsidRDefault="00FA0E01">
            <w:pPr>
              <w:spacing w:after="120"/>
              <w:ind w:right="96"/>
              <w:jc w:val="both"/>
              <w:rPr>
                <w:rFonts w:hint="eastAsia"/>
              </w:rPr>
            </w:pPr>
            <w:r>
              <w:rPr>
                <w:rFonts w:ascii="Times New Roman" w:hAnsi="Times New Roman"/>
                <w:sz w:val="22"/>
                <w:szCs w:val="22"/>
              </w:rPr>
              <w:t xml:space="preserve">Yukarıdaki ifadeden İdareniz tarafından benzer deneyim olarak yeni </w:t>
            </w:r>
            <w:r>
              <w:rPr>
                <w:rFonts w:ascii="Times New Roman" w:hAnsi="Times New Roman"/>
                <w:sz w:val="22"/>
                <w:szCs w:val="22"/>
              </w:rPr>
              <w:t xml:space="preserve">yapım işlerine ait inşaat kontrolörlüğünde danışmanlık hizmetlerinin benzer deneyim olarak kabul edileceği anlaşılmaktadır. </w:t>
            </w:r>
            <w:r>
              <w:rPr>
                <w:rFonts w:ascii="Times New Roman" w:hAnsi="Times New Roman"/>
                <w:sz w:val="22"/>
                <w:szCs w:val="22"/>
                <w:u w:val="single"/>
              </w:rPr>
              <w:t>Herhangi bir güçlendirme veya yenileme veya tadilat projesine ait inşaat kontrolörlüğünde danışmanlık hizmetlerinin</w:t>
            </w:r>
            <w:r>
              <w:rPr>
                <w:rFonts w:ascii="Times New Roman" w:hAnsi="Times New Roman"/>
                <w:sz w:val="22"/>
                <w:szCs w:val="22"/>
              </w:rPr>
              <w:t xml:space="preserve"> benzer deneyim o</w:t>
            </w:r>
            <w:r>
              <w:rPr>
                <w:rFonts w:ascii="Times New Roman" w:hAnsi="Times New Roman"/>
                <w:sz w:val="22"/>
                <w:szCs w:val="22"/>
              </w:rPr>
              <w:t xml:space="preserve">larak kabul edilmeyeceği anlaşılmaktadır. Doğrulanması  </w:t>
            </w:r>
          </w:p>
          <w:p w14:paraId="5C067107"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2AF3AE" w14:textId="77777777" w:rsidR="00442AA5" w:rsidRDefault="00FA0E01">
            <w:pPr>
              <w:pStyle w:val="TableContents"/>
              <w:rPr>
                <w:rFonts w:hint="eastAsia"/>
              </w:rPr>
            </w:pPr>
            <w:r>
              <w:rPr>
                <w:rFonts w:ascii="Times New Roman" w:hAnsi="Times New Roman"/>
                <w:sz w:val="22"/>
                <w:szCs w:val="22"/>
              </w:rPr>
              <w:t xml:space="preserve">Benzer deneyim, Ön Yeterlik Şartnamesi </w:t>
            </w:r>
            <w:r>
              <w:t xml:space="preserve">Bölüm II – Özel Hükümler Madde 4.2.1 Yeterlik Kriterleri </w:t>
            </w:r>
            <w:r>
              <w:rPr>
                <w:rFonts w:ascii="Times New Roman" w:hAnsi="Times New Roman"/>
                <w:sz w:val="22"/>
                <w:szCs w:val="22"/>
              </w:rPr>
              <w:t xml:space="preserve">1.2 bendinde yer </w:t>
            </w:r>
            <w:proofErr w:type="gramStart"/>
            <w:r>
              <w:rPr>
                <w:rFonts w:ascii="Times New Roman" w:hAnsi="Times New Roman"/>
                <w:sz w:val="22"/>
                <w:szCs w:val="22"/>
              </w:rPr>
              <w:t>alan  “</w:t>
            </w:r>
            <w:proofErr w:type="gramEnd"/>
            <w:r>
              <w:rPr>
                <w:rFonts w:ascii="Times New Roman" w:hAnsi="Times New Roman"/>
                <w:i/>
                <w:sz w:val="22"/>
                <w:szCs w:val="22"/>
              </w:rPr>
              <w:t xml:space="preserve">Anaokulları, okullar, üniversite binaları, kamu binaları gibi yukarıda </w:t>
            </w:r>
            <w:r>
              <w:rPr>
                <w:rFonts w:ascii="Times New Roman" w:hAnsi="Times New Roman"/>
                <w:i/>
                <w:sz w:val="22"/>
                <w:szCs w:val="22"/>
              </w:rPr>
              <w:t>tanımlanan hizmetlere benzer inşaat yapıları için tasarım ve/veya tasarım gözden geçirmelerinin Hazırlanmasında Spesifik Deneyim ve bu gibi işlerde son 5 yıl içerisindeki inşaat kontrollük hizmetleri deneyimi</w:t>
            </w:r>
            <w:r>
              <w:rPr>
                <w:rFonts w:ascii="Times New Roman" w:hAnsi="Times New Roman"/>
                <w:sz w:val="22"/>
                <w:szCs w:val="22"/>
              </w:rPr>
              <w:t>” ifadesine  göre değerlendirilecektir.</w:t>
            </w:r>
          </w:p>
          <w:p w14:paraId="50D347C1" w14:textId="77777777" w:rsidR="00442AA5" w:rsidRDefault="00442AA5">
            <w:pPr>
              <w:pStyle w:val="TableContents"/>
              <w:rPr>
                <w:rFonts w:ascii="Times New Roman" w:hAnsi="Times New Roman"/>
                <w:sz w:val="22"/>
                <w:szCs w:val="22"/>
              </w:rPr>
            </w:pPr>
          </w:p>
        </w:tc>
        <w:tc>
          <w:tcPr>
            <w:tcW w:w="4198" w:type="dxa"/>
            <w:tcBorders>
              <w:left w:val="single" w:sz="4" w:space="0" w:color="000000"/>
            </w:tcBorders>
            <w:shd w:val="clear" w:color="auto" w:fill="auto"/>
            <w:tcMar>
              <w:top w:w="0" w:type="dxa"/>
              <w:left w:w="10" w:type="dxa"/>
              <w:bottom w:w="0" w:type="dxa"/>
              <w:right w:w="10" w:type="dxa"/>
            </w:tcMar>
          </w:tcPr>
          <w:p w14:paraId="5474A688" w14:textId="77777777" w:rsidR="00442AA5" w:rsidRDefault="00442AA5">
            <w:pPr>
              <w:pStyle w:val="TableContents"/>
              <w:rPr>
                <w:rFonts w:ascii="Times New Roman" w:hAnsi="Times New Roman"/>
                <w:sz w:val="22"/>
                <w:szCs w:val="22"/>
              </w:rPr>
            </w:pPr>
          </w:p>
        </w:tc>
      </w:tr>
      <w:tr w:rsidR="00442AA5" w14:paraId="30F39E3A"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A1A0F7"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“ÖN Y</w:t>
            </w:r>
            <w:r>
              <w:rPr>
                <w:rFonts w:ascii="Times New Roman" w:hAnsi="Times New Roman"/>
                <w:sz w:val="22"/>
                <w:szCs w:val="22"/>
              </w:rPr>
              <w:t xml:space="preserve">ETERLİLİK 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başlığının “4.2 DEĞERLENDİRME” maddesinin 4.2.2 fıkrasının 1. Bendinde aşağıdaki ifade yer almaktadır: </w:t>
            </w:r>
          </w:p>
          <w:p w14:paraId="2CA8EAC4"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 xml:space="preserve">“1.1 Son beş yılda üst yapı işlerine ilişkin benzer danışmanlık hizmetlerindeki genel </w:t>
            </w:r>
            <w:r>
              <w:rPr>
                <w:rFonts w:ascii="Times New Roman" w:hAnsi="Times New Roman"/>
                <w:i/>
                <w:iCs/>
                <w:sz w:val="22"/>
                <w:szCs w:val="22"/>
              </w:rPr>
              <w:t>deneyim, iş bitirme belgeleri ve devam eden işler için işverenlerden alınacak iş durum belgeleri.</w:t>
            </w:r>
          </w:p>
          <w:p w14:paraId="67431C2B"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1.2 Anaokulları, okullar, üniversite binaları, kamu binaları gibi yukarıda tanımlanan hizmetlere benzer inşaat yapıları için tasarım ve tasarım gözden geçirme</w:t>
            </w:r>
            <w:r>
              <w:rPr>
                <w:rFonts w:ascii="Times New Roman" w:hAnsi="Times New Roman"/>
                <w:i/>
                <w:iCs/>
                <w:sz w:val="22"/>
                <w:szCs w:val="22"/>
              </w:rPr>
              <w:t>lerinin Hazırlanmasında Spesifik Deneyim ve bu gibi işlerde son 5 yıl içerisindeki inşaat kontrollük hizmetleri deneyimi</w:t>
            </w:r>
          </w:p>
          <w:p w14:paraId="149C9BF4"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 xml:space="preserve">1.3 AB fonları ve/veya Uluslararası Finansal Kuruluşlar (UFK) tarafından finanse edilen benzer projelerde danışmanlık </w:t>
            </w:r>
            <w:r>
              <w:rPr>
                <w:rFonts w:ascii="Times New Roman" w:hAnsi="Times New Roman"/>
                <w:i/>
                <w:iCs/>
                <w:sz w:val="22"/>
                <w:szCs w:val="22"/>
              </w:rPr>
              <w:t>hizmetleri deneyimi ve bunu tevsik eden iş bitirme ve/veya iş durum belgeleri.”</w:t>
            </w:r>
          </w:p>
          <w:p w14:paraId="57179C8E" w14:textId="77777777" w:rsidR="00442AA5" w:rsidRDefault="00FA0E01">
            <w:pPr>
              <w:spacing w:after="120"/>
              <w:ind w:right="96"/>
              <w:jc w:val="both"/>
              <w:rPr>
                <w:rFonts w:hint="eastAsia"/>
              </w:rPr>
            </w:pPr>
            <w:r>
              <w:rPr>
                <w:rFonts w:ascii="Times New Roman" w:hAnsi="Times New Roman"/>
                <w:sz w:val="22"/>
                <w:szCs w:val="22"/>
              </w:rPr>
              <w:t>Yukarıdaki ifadelerden İdareniz tarafından benzer deneyim olarak “anaokulları, okullar, üniversite binaları, kamu binaları” gibi kamu yapılarının kabul edileceği anlaşılmaktadı</w:t>
            </w:r>
            <w:r>
              <w:rPr>
                <w:rFonts w:ascii="Times New Roman" w:hAnsi="Times New Roman"/>
                <w:sz w:val="22"/>
                <w:szCs w:val="22"/>
              </w:rPr>
              <w:t xml:space="preserve">r. </w:t>
            </w:r>
            <w:r>
              <w:rPr>
                <w:rFonts w:ascii="Times New Roman" w:hAnsi="Times New Roman"/>
                <w:sz w:val="22"/>
                <w:szCs w:val="22"/>
                <w:u w:val="single"/>
              </w:rPr>
              <w:t>Herhangi bir konut projesine ait tasarım/tasarım kontrollük ve inşaat kontrollük hizmetlerinin</w:t>
            </w:r>
            <w:r>
              <w:rPr>
                <w:rFonts w:ascii="Times New Roman" w:hAnsi="Times New Roman"/>
                <w:sz w:val="22"/>
                <w:szCs w:val="22"/>
              </w:rPr>
              <w:t xml:space="preserve"> benzer deneyim olarak kabul edilmeyeceği anlaşılmaktadır. Doğrulanması  </w:t>
            </w:r>
          </w:p>
          <w:p w14:paraId="3FDDE747"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FE53A7" w14:textId="77777777" w:rsidR="00442AA5" w:rsidRDefault="00FA0E01">
            <w:pPr>
              <w:pStyle w:val="TableContents"/>
              <w:rPr>
                <w:rFonts w:hint="eastAsia"/>
              </w:rPr>
            </w:pPr>
            <w:r>
              <w:rPr>
                <w:rFonts w:ascii="Times New Roman" w:hAnsi="Times New Roman"/>
                <w:sz w:val="22"/>
                <w:szCs w:val="22"/>
              </w:rPr>
              <w:lastRenderedPageBreak/>
              <w:t xml:space="preserve">Benzer deneyim, Ön Yeterlik Şartnamesi </w:t>
            </w:r>
            <w:r>
              <w:t>Bölüm II – Özel Hükümler Madde 4.2.1 Yeterlik</w:t>
            </w:r>
            <w:r>
              <w:t xml:space="preserve"> Kriterleri </w:t>
            </w:r>
            <w:r>
              <w:rPr>
                <w:rFonts w:ascii="Times New Roman" w:hAnsi="Times New Roman"/>
                <w:sz w:val="22"/>
                <w:szCs w:val="22"/>
              </w:rPr>
              <w:t xml:space="preserve">1 bendinde yer alan  </w:t>
            </w:r>
          </w:p>
          <w:p w14:paraId="3DDC04BC"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“1.1 Son beş yılda üst yapı işlerine ilişkin benzer danışmanlık hizmetlerindeki genel deneyim, iş bitirme belgeleri ve devam eden işler için işverenlerden alınacak iş durum belgeleri.</w:t>
            </w:r>
          </w:p>
          <w:p w14:paraId="3CAE7CAF"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1.2 Anaokulları, okullar, üniversite b</w:t>
            </w:r>
            <w:r>
              <w:rPr>
                <w:rFonts w:ascii="Times New Roman" w:hAnsi="Times New Roman"/>
                <w:i/>
                <w:iCs/>
                <w:sz w:val="22"/>
                <w:szCs w:val="22"/>
              </w:rPr>
              <w:t>inaları, kamu binaları gibi yukarıda tanımlanan hizmetlere benzer inşaat yapıları için tasarım ve/veya tasarım gözden geçirmelerinin Hazırlanmasında Spesifik Deneyim ve bu gibi işlerde son 5 yıl içerisindeki inşaat kontrollük hizmetleri deneyimi</w:t>
            </w:r>
          </w:p>
          <w:p w14:paraId="0CF21DFE"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1.3 AB fon</w:t>
            </w:r>
            <w:r>
              <w:rPr>
                <w:rFonts w:ascii="Times New Roman" w:hAnsi="Times New Roman"/>
                <w:i/>
                <w:iCs/>
                <w:sz w:val="22"/>
                <w:szCs w:val="22"/>
              </w:rPr>
              <w:t>ları ve/veya Uluslararası Finansal Kuruluşlar (UFK) tarafından finanse edilen benzer projelerde danışmanlık hizmetleri deneyimi ve bunu tevsik eden iş bitirme ve/veya iş durum belgeleri.”</w:t>
            </w:r>
          </w:p>
          <w:p w14:paraId="3F7559A3" w14:textId="77777777" w:rsidR="00442AA5" w:rsidRDefault="00FA0E01">
            <w:pPr>
              <w:pStyle w:val="TableContents"/>
              <w:rPr>
                <w:rFonts w:ascii="Times New Roman" w:hAnsi="Times New Roman"/>
                <w:sz w:val="22"/>
                <w:szCs w:val="22"/>
              </w:rPr>
            </w:pPr>
            <w:proofErr w:type="gramStart"/>
            <w:r>
              <w:rPr>
                <w:rFonts w:ascii="Times New Roman" w:hAnsi="Times New Roman"/>
                <w:sz w:val="22"/>
                <w:szCs w:val="22"/>
              </w:rPr>
              <w:t>hükümlerine</w:t>
            </w:r>
            <w:proofErr w:type="gramEnd"/>
            <w:r>
              <w:rPr>
                <w:rFonts w:ascii="Times New Roman" w:hAnsi="Times New Roman"/>
                <w:sz w:val="22"/>
                <w:szCs w:val="22"/>
              </w:rPr>
              <w:t xml:space="preserve"> göre değerlendirilecektir.</w:t>
            </w:r>
          </w:p>
          <w:p w14:paraId="13FC9D2E" w14:textId="77777777" w:rsidR="00442AA5" w:rsidRDefault="00442AA5">
            <w:pPr>
              <w:pStyle w:val="TableContents"/>
              <w:rPr>
                <w:rFonts w:ascii="Times New Roman" w:hAnsi="Times New Roman"/>
                <w:sz w:val="22"/>
                <w:szCs w:val="22"/>
              </w:rPr>
            </w:pPr>
          </w:p>
        </w:tc>
        <w:tc>
          <w:tcPr>
            <w:tcW w:w="4198" w:type="dxa"/>
            <w:tcBorders>
              <w:left w:val="single" w:sz="4" w:space="0" w:color="000000"/>
            </w:tcBorders>
            <w:shd w:val="clear" w:color="auto" w:fill="auto"/>
            <w:tcMar>
              <w:top w:w="0" w:type="dxa"/>
              <w:left w:w="10" w:type="dxa"/>
              <w:bottom w:w="0" w:type="dxa"/>
              <w:right w:w="10" w:type="dxa"/>
            </w:tcMar>
          </w:tcPr>
          <w:p w14:paraId="5D26B4D1" w14:textId="77777777" w:rsidR="00442AA5" w:rsidRDefault="00442AA5">
            <w:pPr>
              <w:pStyle w:val="TableContents"/>
              <w:rPr>
                <w:rFonts w:ascii="Times New Roman" w:hAnsi="Times New Roman"/>
                <w:sz w:val="22"/>
                <w:szCs w:val="22"/>
              </w:rPr>
            </w:pPr>
          </w:p>
        </w:tc>
      </w:tr>
      <w:tr w:rsidR="00442AA5" w14:paraId="50F7CF91" w14:textId="77777777">
        <w:tblPrEx>
          <w:tblCellMar>
            <w:top w:w="0" w:type="dxa"/>
            <w:bottom w:w="0" w:type="dxa"/>
          </w:tblCellMar>
        </w:tblPrEx>
        <w:tc>
          <w:tcPr>
            <w:tcW w:w="54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09EAEB" w14:textId="77777777" w:rsidR="00442AA5" w:rsidRDefault="00FA0E01">
            <w:pPr>
              <w:suppressAutoHyphens w:val="0"/>
              <w:spacing w:after="120"/>
              <w:ind w:right="96"/>
              <w:jc w:val="both"/>
              <w:textAlignment w:val="auto"/>
              <w:rPr>
                <w:rFonts w:ascii="Times New Roman" w:hAnsi="Times New Roman"/>
                <w:sz w:val="22"/>
                <w:szCs w:val="22"/>
              </w:rPr>
            </w:pPr>
            <w:r>
              <w:rPr>
                <w:rFonts w:ascii="Times New Roman" w:hAnsi="Times New Roman"/>
                <w:sz w:val="22"/>
                <w:szCs w:val="22"/>
              </w:rPr>
              <w:t xml:space="preserve">“ÖN YETERLİLİK </w:t>
            </w:r>
            <w:r>
              <w:rPr>
                <w:rFonts w:ascii="Times New Roman" w:hAnsi="Times New Roman"/>
                <w:sz w:val="22"/>
                <w:szCs w:val="22"/>
              </w:rPr>
              <w:t xml:space="preserve">ŞARTNAMESİ” dokümanının “BÖLÜM </w:t>
            </w:r>
            <w:proofErr w:type="gramStart"/>
            <w:r>
              <w:rPr>
                <w:rFonts w:ascii="Times New Roman" w:hAnsi="Times New Roman"/>
                <w:sz w:val="22"/>
                <w:szCs w:val="22"/>
              </w:rPr>
              <w:t>II -</w:t>
            </w:r>
            <w:proofErr w:type="gramEnd"/>
            <w:r>
              <w:rPr>
                <w:rFonts w:ascii="Times New Roman" w:hAnsi="Times New Roman"/>
                <w:sz w:val="22"/>
                <w:szCs w:val="22"/>
              </w:rPr>
              <w:t xml:space="preserve"> ÖZEL HÜKÜMLER (ÖH)” başlığının “4.2 DEĞERLENDİRME” maddesinin 4.2.2 fıkrasının 1. Bendinde aşağıdaki ifade yer almaktadır: </w:t>
            </w:r>
          </w:p>
          <w:p w14:paraId="5085F6A9"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“1.1 Son beş yılda üst yapı işlerine ilişkin benzer danışmanlık hizmetlerindeki genel deneyim, i</w:t>
            </w:r>
            <w:r>
              <w:rPr>
                <w:rFonts w:ascii="Times New Roman" w:hAnsi="Times New Roman"/>
                <w:i/>
                <w:iCs/>
                <w:sz w:val="22"/>
                <w:szCs w:val="22"/>
              </w:rPr>
              <w:t>ş bitirme belgeleri ve devam eden işler için işverenlerden alınacak iş durum belgeleri.</w:t>
            </w:r>
          </w:p>
          <w:p w14:paraId="3E54A190"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1.2 Anaokulları, okullar, üniversite binaları, kamu binaları gibi yukarıda tanımlanan hizmetlere benzer inşaat yapıları için tasarım ve tasarım gözden geçirmelerinin Ha</w:t>
            </w:r>
            <w:r>
              <w:rPr>
                <w:rFonts w:ascii="Times New Roman" w:hAnsi="Times New Roman"/>
                <w:i/>
                <w:iCs/>
                <w:sz w:val="22"/>
                <w:szCs w:val="22"/>
              </w:rPr>
              <w:t>zırlanmasında Spesifik Deneyim ve bu gibi işlerde son 5 yıl içerisindeki inşaat kontrollük hizmetleri deneyimi</w:t>
            </w:r>
          </w:p>
          <w:p w14:paraId="4FC6E7EE"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1.3 AB fonları ve/veya Uluslararası Finansal Kuruluşlar (UFK) tarafından finanse edilen benzer projelerde danışmanlık hizmetleri deneyimi ve bunu</w:t>
            </w:r>
            <w:r>
              <w:rPr>
                <w:rFonts w:ascii="Times New Roman" w:hAnsi="Times New Roman"/>
                <w:i/>
                <w:iCs/>
                <w:sz w:val="22"/>
                <w:szCs w:val="22"/>
              </w:rPr>
              <w:t xml:space="preserve"> tevsik eden iş bitirme ve/veya iş durum belgeleri.”</w:t>
            </w:r>
          </w:p>
          <w:p w14:paraId="1CBC6E67" w14:textId="77777777" w:rsidR="00442AA5" w:rsidRDefault="00FA0E01">
            <w:pPr>
              <w:spacing w:after="120"/>
              <w:ind w:right="96"/>
              <w:jc w:val="both"/>
              <w:rPr>
                <w:rFonts w:hint="eastAsia"/>
              </w:rPr>
            </w:pPr>
            <w:r>
              <w:rPr>
                <w:rFonts w:ascii="Times New Roman" w:hAnsi="Times New Roman"/>
                <w:sz w:val="22"/>
                <w:szCs w:val="22"/>
              </w:rPr>
              <w:t>Yukarıdaki ifadelerden İdareniz tarafından benzer deneyim olarak yeni yapım işlerine ait tasarım/tasarım kontrollük ve inşaat kontrollük hizmetlerinin benzer deneyim olarak kabul edileceği anlaşılmaktadı</w:t>
            </w:r>
            <w:r>
              <w:rPr>
                <w:rFonts w:ascii="Times New Roman" w:hAnsi="Times New Roman"/>
                <w:sz w:val="22"/>
                <w:szCs w:val="22"/>
              </w:rPr>
              <w:t xml:space="preserve">r. </w:t>
            </w:r>
            <w:r>
              <w:rPr>
                <w:rFonts w:ascii="Times New Roman" w:hAnsi="Times New Roman"/>
                <w:sz w:val="22"/>
                <w:szCs w:val="22"/>
                <w:u w:val="single"/>
              </w:rPr>
              <w:t>Herhangi bir güçlendirme veya yenileme veya tadilat projesine ait tasarım/tasarım kontrollük ve inşaat kontrollük hizmetlerinin</w:t>
            </w:r>
            <w:r>
              <w:rPr>
                <w:rFonts w:ascii="Times New Roman" w:hAnsi="Times New Roman"/>
                <w:sz w:val="22"/>
                <w:szCs w:val="22"/>
              </w:rPr>
              <w:t xml:space="preserve"> benzer deneyim olarak kabul edilmeyeceği anlaşılmaktadır. Doğrulanması  </w:t>
            </w:r>
          </w:p>
          <w:p w14:paraId="03E43033" w14:textId="77777777" w:rsidR="00442AA5" w:rsidRDefault="00442AA5">
            <w:pPr>
              <w:pStyle w:val="TableContents"/>
              <w:rPr>
                <w:rFonts w:ascii="Times New Roman" w:hAnsi="Times New Roman"/>
                <w:sz w:val="22"/>
                <w:szCs w:val="22"/>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19D2A4" w14:textId="77777777" w:rsidR="00442AA5" w:rsidRDefault="00FA0E01">
            <w:pPr>
              <w:pStyle w:val="TableContents"/>
              <w:rPr>
                <w:rFonts w:hint="eastAsia"/>
              </w:rPr>
            </w:pPr>
            <w:r>
              <w:rPr>
                <w:rFonts w:ascii="Times New Roman" w:hAnsi="Times New Roman"/>
                <w:sz w:val="22"/>
                <w:szCs w:val="22"/>
              </w:rPr>
              <w:t xml:space="preserve">Benzer deneyim, Ön Yeterlik Şartnamesi </w:t>
            </w:r>
            <w:r>
              <w:t>Bölüm II – Ö</w:t>
            </w:r>
            <w:r>
              <w:t xml:space="preserve">zel Hükümler Madde 4.2.1 Yeterlik Kriterleri </w:t>
            </w:r>
            <w:r>
              <w:rPr>
                <w:rFonts w:ascii="Times New Roman" w:hAnsi="Times New Roman"/>
                <w:sz w:val="22"/>
                <w:szCs w:val="22"/>
              </w:rPr>
              <w:t xml:space="preserve">1 bendinde yer alan  </w:t>
            </w:r>
          </w:p>
          <w:p w14:paraId="4DB2CDAC"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“1.1 Son beş yılda üst yapı işlerine ilişkin benzer danışmanlık hizmetlerindeki genel deneyim, iş bitirme belgeleri ve devam eden işler için işverenlerden alınacak iş durum belgeleri.</w:t>
            </w:r>
          </w:p>
          <w:p w14:paraId="5F890F22"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1.2 A</w:t>
            </w:r>
            <w:r>
              <w:rPr>
                <w:rFonts w:ascii="Times New Roman" w:hAnsi="Times New Roman"/>
                <w:i/>
                <w:iCs/>
                <w:sz w:val="22"/>
                <w:szCs w:val="22"/>
              </w:rPr>
              <w:t>naokulları, okullar, üniversite binaları, kamu binaları gibi yukarıda tanımlanan hizmetlere benzer inşaat yapıları için tasarım ve/veya tasarım gözden geçirmelerinin Hazırlanmasında Spesifik Deneyim ve bu gibi işlerde son 5 yıl içerisindeki inşaat kontroll</w:t>
            </w:r>
            <w:r>
              <w:rPr>
                <w:rFonts w:ascii="Times New Roman" w:hAnsi="Times New Roman"/>
                <w:i/>
                <w:iCs/>
                <w:sz w:val="22"/>
                <w:szCs w:val="22"/>
              </w:rPr>
              <w:t>ük hizmetleri deneyimi</w:t>
            </w:r>
          </w:p>
          <w:p w14:paraId="2816686A" w14:textId="77777777" w:rsidR="00442AA5" w:rsidRDefault="00FA0E01">
            <w:pPr>
              <w:spacing w:after="120"/>
              <w:ind w:left="283" w:right="96"/>
              <w:jc w:val="both"/>
              <w:rPr>
                <w:rFonts w:ascii="Times New Roman" w:hAnsi="Times New Roman"/>
                <w:i/>
                <w:iCs/>
                <w:sz w:val="22"/>
                <w:szCs w:val="22"/>
              </w:rPr>
            </w:pPr>
            <w:r>
              <w:rPr>
                <w:rFonts w:ascii="Times New Roman" w:hAnsi="Times New Roman"/>
                <w:i/>
                <w:iCs/>
                <w:sz w:val="22"/>
                <w:szCs w:val="22"/>
              </w:rPr>
              <w:t>1.3 AB fonları ve/veya Uluslararası Finansal Kuruluşlar (UFK) tarafından finanse edilen benzer projelerde danışmanlık hizmetleri deneyimi ve bunu tevsik eden iş bitirme ve/veya iş durum belgeleri.”</w:t>
            </w:r>
          </w:p>
          <w:p w14:paraId="7EB074E8" w14:textId="77777777" w:rsidR="00442AA5" w:rsidRDefault="00FA0E01">
            <w:pPr>
              <w:pStyle w:val="TableContents"/>
              <w:rPr>
                <w:rFonts w:ascii="Times New Roman" w:hAnsi="Times New Roman"/>
                <w:sz w:val="22"/>
                <w:szCs w:val="22"/>
              </w:rPr>
            </w:pPr>
            <w:proofErr w:type="gramStart"/>
            <w:r>
              <w:rPr>
                <w:rFonts w:ascii="Times New Roman" w:hAnsi="Times New Roman"/>
                <w:sz w:val="22"/>
                <w:szCs w:val="22"/>
              </w:rPr>
              <w:t>hükümlerine</w:t>
            </w:r>
            <w:proofErr w:type="gramEnd"/>
            <w:r>
              <w:rPr>
                <w:rFonts w:ascii="Times New Roman" w:hAnsi="Times New Roman"/>
                <w:sz w:val="22"/>
                <w:szCs w:val="22"/>
              </w:rPr>
              <w:t xml:space="preserve"> göre değerlendirilecekt</w:t>
            </w:r>
            <w:r>
              <w:rPr>
                <w:rFonts w:ascii="Times New Roman" w:hAnsi="Times New Roman"/>
                <w:sz w:val="22"/>
                <w:szCs w:val="22"/>
              </w:rPr>
              <w:t>ir.</w:t>
            </w:r>
          </w:p>
          <w:p w14:paraId="5281F6A5" w14:textId="77777777" w:rsidR="00442AA5" w:rsidRDefault="00442AA5">
            <w:pPr>
              <w:pStyle w:val="TableContents"/>
              <w:rPr>
                <w:rFonts w:ascii="Times New Roman" w:hAnsi="Times New Roman"/>
                <w:sz w:val="22"/>
                <w:szCs w:val="22"/>
              </w:rPr>
            </w:pPr>
          </w:p>
        </w:tc>
        <w:tc>
          <w:tcPr>
            <w:tcW w:w="4198" w:type="dxa"/>
            <w:tcBorders>
              <w:left w:val="single" w:sz="4" w:space="0" w:color="000000"/>
            </w:tcBorders>
            <w:shd w:val="clear" w:color="auto" w:fill="auto"/>
            <w:tcMar>
              <w:top w:w="0" w:type="dxa"/>
              <w:left w:w="10" w:type="dxa"/>
              <w:bottom w:w="0" w:type="dxa"/>
              <w:right w:w="10" w:type="dxa"/>
            </w:tcMar>
          </w:tcPr>
          <w:p w14:paraId="5EDFF646" w14:textId="77777777" w:rsidR="00442AA5" w:rsidRDefault="00442AA5">
            <w:pPr>
              <w:pStyle w:val="TableContents"/>
              <w:rPr>
                <w:rFonts w:ascii="Times New Roman" w:hAnsi="Times New Roman"/>
                <w:sz w:val="22"/>
                <w:szCs w:val="22"/>
              </w:rPr>
            </w:pPr>
          </w:p>
        </w:tc>
      </w:tr>
    </w:tbl>
    <w:p w14:paraId="4DE2DC58" w14:textId="77777777" w:rsidR="00442AA5" w:rsidRDefault="00442AA5">
      <w:pPr>
        <w:pStyle w:val="Standard"/>
        <w:rPr>
          <w:rFonts w:hint="eastAsia"/>
        </w:rPr>
      </w:pPr>
    </w:p>
    <w:sectPr w:rsidR="00442AA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DD85" w14:textId="77777777" w:rsidR="00FA0E01" w:rsidRDefault="00FA0E01">
      <w:pPr>
        <w:rPr>
          <w:rFonts w:hint="eastAsia"/>
        </w:rPr>
      </w:pPr>
      <w:r>
        <w:separator/>
      </w:r>
    </w:p>
  </w:endnote>
  <w:endnote w:type="continuationSeparator" w:id="0">
    <w:p w14:paraId="46C80378" w14:textId="77777777" w:rsidR="00FA0E01" w:rsidRDefault="00FA0E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5427" w14:textId="77777777" w:rsidR="00FA0E01" w:rsidRDefault="00FA0E01">
      <w:pPr>
        <w:rPr>
          <w:rFonts w:hint="eastAsia"/>
        </w:rPr>
      </w:pPr>
      <w:r>
        <w:rPr>
          <w:color w:val="000000"/>
        </w:rPr>
        <w:separator/>
      </w:r>
    </w:p>
  </w:footnote>
  <w:footnote w:type="continuationSeparator" w:id="0">
    <w:p w14:paraId="6C9FD77C" w14:textId="77777777" w:rsidR="00FA0E01" w:rsidRDefault="00FA0E0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2AA5"/>
    <w:rsid w:val="00442AA5"/>
    <w:rsid w:val="006A45C4"/>
    <w:rsid w:val="00FA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3A2"/>
  <w15:docId w15:val="{54647599-1C3A-462E-8226-73E0F7FB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Style7">
    <w:name w:val="Style 7"/>
    <w:basedOn w:val="Standard"/>
    <w:pPr>
      <w:widowControl w:val="0"/>
      <w:spacing w:line="480" w:lineRule="auto"/>
      <w:jc w:val="center"/>
    </w:pPr>
    <w:rPr>
      <w:rFonts w:eastAsia="Times New Roman"/>
      <w:lang w:val="en-US" w:bidi="ar-SA"/>
    </w:rPr>
  </w:style>
  <w:style w:type="paragraph" w:customStyle="1" w:styleId="DEStandardL3">
    <w:name w:val="DE Standard L3"/>
    <w:basedOn w:val="Standard"/>
    <w:next w:val="GvdeMetni21"/>
    <w:pPr>
      <w:spacing w:before="240"/>
      <w:outlineLvl w:val="2"/>
    </w:pPr>
    <w:rPr>
      <w:rFonts w:ascii="Arial" w:eastAsia="Arial" w:hAnsi="Arial" w:cs="Arial"/>
      <w:szCs w:val="20"/>
    </w:rPr>
  </w:style>
  <w:style w:type="paragraph" w:customStyle="1" w:styleId="GvdeMetni21">
    <w:name w:val="Gövde Metni 21"/>
    <w:basedOn w:val="Standard"/>
    <w:pPr>
      <w:ind w:left="1440"/>
    </w:pPr>
    <w:rPr>
      <w:rFonts w:cs="Simplified Arabic"/>
    </w:rPr>
  </w:style>
  <w:style w:type="character" w:customStyle="1" w:styleId="VarsaylanParagrafYazTipi1">
    <w:name w:val="Varsayılan Paragraf Yazı Tipi1"/>
  </w:style>
  <w:style w:type="character" w:customStyle="1" w:styleId="Internetlink">
    <w:name w:val="Internet link"/>
    <w:rPr>
      <w:color w:val="000080"/>
      <w:u w:val="single"/>
    </w:rPr>
  </w:style>
  <w:style w:type="character" w:customStyle="1" w:styleId="CommentReference">
    <w:name w:val="Comment Reference"/>
    <w:basedOn w:val="VarsaylanParagrafYazTipi"/>
    <w:rPr>
      <w:sz w:val="16"/>
      <w:szCs w:val="16"/>
    </w:rPr>
  </w:style>
  <w:style w:type="paragraph" w:customStyle="1" w:styleId="CommentText">
    <w:name w:val="Comment Text"/>
    <w:basedOn w:val="Normal"/>
    <w:rPr>
      <w:rFonts w:cs="Mangal"/>
      <w:sz w:val="20"/>
      <w:szCs w:val="18"/>
    </w:rPr>
  </w:style>
  <w:style w:type="character" w:customStyle="1" w:styleId="CommentTextChar">
    <w:name w:val="Comment Text Char"/>
    <w:basedOn w:val="VarsaylanParagrafYazTipi"/>
    <w:rPr>
      <w:rFonts w:cs="Mangal"/>
      <w:sz w:val="20"/>
      <w:szCs w:val="18"/>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Dzeltme">
    <w:name w:val="Revision"/>
    <w:pPr>
      <w:textAlignment w:val="auto"/>
    </w:pPr>
    <w:rPr>
      <w:rFonts w:cs="Mangal"/>
      <w:szCs w:val="21"/>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character" w:styleId="AklamaBavurusu">
    <w:name w:val="annotation reference"/>
    <w:basedOn w:val="VarsaylanParagrafYazTipi"/>
    <w:rPr>
      <w:sz w:val="16"/>
      <w:szCs w:val="16"/>
    </w:rPr>
  </w:style>
  <w:style w:type="paragraph" w:styleId="BalonMetni">
    <w:name w:val="Balloon Text"/>
    <w:basedOn w:val="Normal"/>
    <w:rPr>
      <w:rFonts w:ascii="Segoe UI" w:hAnsi="Segoe UI" w:cs="Mangal"/>
      <w:sz w:val="18"/>
      <w:szCs w:val="16"/>
    </w:rPr>
  </w:style>
  <w:style w:type="character" w:customStyle="1" w:styleId="BalonMetniChar">
    <w:name w:val="Balon Metni Char"/>
    <w:basedOn w:val="VarsaylanParagrafYazTipi"/>
    <w:rPr>
      <w:rFonts w:ascii="Segoe UI" w:hAnsi="Segoe UI" w:cs="Mangal"/>
      <w:sz w:val="18"/>
      <w:szCs w:val="16"/>
    </w:rPr>
  </w:style>
  <w:style w:type="paragraph" w:customStyle="1" w:styleId="stbilgi">
    <w:name w:val="Üstbilgi"/>
    <w:basedOn w:val="Normal"/>
    <w:pPr>
      <w:tabs>
        <w:tab w:val="center" w:pos="4536"/>
        <w:tab w:val="right" w:pos="9072"/>
      </w:tabs>
    </w:pPr>
    <w:rPr>
      <w:rFonts w:cs="Mangal"/>
      <w:szCs w:val="21"/>
    </w:rPr>
  </w:style>
  <w:style w:type="character" w:customStyle="1" w:styleId="stbilgiChar">
    <w:name w:val="Üstbilgi Char"/>
    <w:basedOn w:val="VarsaylanParagrafYazTipi"/>
    <w:rPr>
      <w:rFonts w:cs="Mangal"/>
      <w:szCs w:val="21"/>
    </w:rPr>
  </w:style>
  <w:style w:type="paragraph" w:customStyle="1" w:styleId="Altbilgi">
    <w:name w:val="Altbilgi"/>
    <w:basedOn w:val="Normal"/>
    <w:pPr>
      <w:tabs>
        <w:tab w:val="center" w:pos="4536"/>
        <w:tab w:val="right" w:pos="9072"/>
      </w:tabs>
    </w:pPr>
    <w:rPr>
      <w:rFonts w:cs="Mangal"/>
      <w:szCs w:val="21"/>
    </w:rPr>
  </w:style>
  <w:style w:type="character" w:customStyle="1" w:styleId="AltbilgiChar">
    <w:name w:val="Altbilgi Char"/>
    <w:basedOn w:val="VarsaylanParagrafYazTipi"/>
    <w:rPr>
      <w:rFonts w:cs="Mangal"/>
      <w:szCs w:val="21"/>
    </w:rPr>
  </w:style>
  <w:style w:type="paragraph" w:customStyle="1" w:styleId="stbilgi1">
    <w:name w:val="Üstbilgi1"/>
    <w:basedOn w:val="Normal"/>
    <w:pPr>
      <w:jc w:val="both"/>
    </w:pPr>
    <w:rPr>
      <w:rFonts w:ascii="Times New Roman" w:eastAsia="SimSun" w:hAnsi="Times New Roman" w:cs="Simplified Arabic"/>
      <w:kern w:val="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gm.meb.gov.tr/www/19-ilde-yapilacak-egitim-binalari-anaokullari-insaat-kontrolu-ve-teknik-danismanlik-hizmetleri-isleri-on-secim-ilani/icerik/497"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3025</Words>
  <Characters>17245</Characters>
  <Application>Microsoft Office Word</Application>
  <DocSecurity>0</DocSecurity>
  <Lines>143</Lines>
  <Paragraphs>40</Paragraphs>
  <ScaleCrop>false</ScaleCrop>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KARACIGER</dc:creator>
  <cp:lastModifiedBy>Levent</cp:lastModifiedBy>
  <cp:revision>2</cp:revision>
  <dcterms:created xsi:type="dcterms:W3CDTF">2021-04-09T14:22:00Z</dcterms:created>
  <dcterms:modified xsi:type="dcterms:W3CDTF">2021-04-09T14:22:00Z</dcterms:modified>
</cp:coreProperties>
</file>