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9"/>
        <w:gridCol w:w="5387"/>
        <w:gridCol w:w="713"/>
      </w:tblGrid>
      <w:tr w:rsidR="00E61504" w14:paraId="50785E4E" w14:textId="77777777">
        <w:tblPrEx>
          <w:tblCellMar>
            <w:top w:w="0" w:type="dxa"/>
            <w:bottom w:w="0" w:type="dxa"/>
          </w:tblCellMar>
        </w:tblPrEx>
        <w:trPr>
          <w:trHeight w:val="1744"/>
        </w:trPr>
        <w:tc>
          <w:tcPr>
            <w:tcW w:w="10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3914D" w14:textId="77777777" w:rsidR="00E61504" w:rsidRDefault="00EA3B4E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201F1E"/>
                <w:sz w:val="22"/>
                <w:szCs w:val="22"/>
              </w:rPr>
              <w:t xml:space="preserve">FRIT II Fonu Bünyesinde </w:t>
            </w:r>
            <w:proofErr w:type="spellStart"/>
            <w:r>
              <w:rPr>
                <w:rFonts w:ascii="Times New Roman" w:hAnsi="Times New Roman" w:cs="Times New Roman"/>
                <w:color w:val="201F1E"/>
                <w:sz w:val="22"/>
                <w:szCs w:val="22"/>
              </w:rPr>
              <w:t>KfW</w:t>
            </w:r>
            <w:proofErr w:type="spellEnd"/>
            <w:r>
              <w:rPr>
                <w:rFonts w:ascii="Times New Roman" w:hAnsi="Times New Roman" w:cs="Times New Roman"/>
                <w:color w:val="201F1E"/>
                <w:sz w:val="22"/>
                <w:szCs w:val="22"/>
              </w:rPr>
              <w:t xml:space="preserve"> Yürütücülüğü İle Kriz Zamanında Herkes İçin Eğitim III Projesi Çerçevesinde GKAS (Geçici Koruma Altındaki Suriyeliler) Eğitim Alt Yapısını Desteklemek Amacıyla “Sürdürülebilir ve Yeni Nesil Okullar” </w:t>
            </w:r>
            <w:r>
              <w:rPr>
                <w:rFonts w:ascii="Times New Roman" w:hAnsi="Times New Roman" w:cs="Times New Roman"/>
                <w:color w:val="201F1E"/>
                <w:sz w:val="22"/>
                <w:szCs w:val="22"/>
              </w:rPr>
              <w:t>Yapmak Amacıyla Örnek Tasarımlara Entegre Edilebilecek Yenilikçi Bina Konseptlerinin Geliştirilmesine Yönelik Danışmanlık Hizmetlerine (</w:t>
            </w:r>
            <w:proofErr w:type="spellStart"/>
            <w:r>
              <w:rPr>
                <w:rFonts w:ascii="Times New Roman" w:hAnsi="Times New Roman" w:cs="Times New Roman"/>
                <w:color w:val="201F1E"/>
                <w:sz w:val="22"/>
                <w:szCs w:val="22"/>
              </w:rPr>
              <w:t>İnovasyon</w:t>
            </w:r>
            <w:proofErr w:type="spellEnd"/>
            <w:r>
              <w:rPr>
                <w:rFonts w:ascii="Times New Roman" w:hAnsi="Times New Roman" w:cs="Times New Roman"/>
                <w:color w:val="201F1E"/>
                <w:sz w:val="22"/>
                <w:szCs w:val="22"/>
              </w:rPr>
              <w:t xml:space="preserve"> ve Uygulama Danışmanı) İlişkin </w:t>
            </w:r>
            <w:r>
              <w:rPr>
                <w:color w:val="201F1E"/>
                <w:sz w:val="22"/>
                <w:szCs w:val="22"/>
                <w:shd w:val="clear" w:color="auto" w:fill="FFFFFF"/>
              </w:rPr>
              <w:t>Ön Yeterlik Şartnamesi Bölüm I – Genel Hükümler Madde 2.5.1 gereğince Başvuru S</w:t>
            </w:r>
            <w:r>
              <w:rPr>
                <w:color w:val="201F1E"/>
                <w:sz w:val="22"/>
                <w:szCs w:val="22"/>
                <w:shd w:val="clear" w:color="auto" w:fill="FFFFFF"/>
              </w:rPr>
              <w:t>ahipleri tarafından sorulan sorular ve İdarenin cevapları</w:t>
            </w:r>
          </w:p>
        </w:tc>
        <w:tc>
          <w:tcPr>
            <w:tcW w:w="7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A06EC" w14:textId="77777777" w:rsidR="00E61504" w:rsidRDefault="00E61504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61504" w14:paraId="046BC5EC" w14:textId="7777777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6B69F" w14:textId="77777777" w:rsidR="00E61504" w:rsidRDefault="00EA3B4E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SORULAR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8B4E6" w14:textId="77777777" w:rsidR="00E61504" w:rsidRDefault="00EA3B4E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CEVAPLAR</w:t>
            </w:r>
          </w:p>
        </w:tc>
        <w:tc>
          <w:tcPr>
            <w:tcW w:w="7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20ABCD" w14:textId="77777777" w:rsidR="00E61504" w:rsidRDefault="00E61504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61504" w14:paraId="1677538C" w14:textId="77777777">
        <w:tblPrEx>
          <w:tblCellMar>
            <w:top w:w="0" w:type="dxa"/>
            <w:bottom w:w="0" w:type="dxa"/>
          </w:tblCellMar>
        </w:tblPrEx>
        <w:trPr>
          <w:trHeight w:val="6313"/>
        </w:trPr>
        <w:tc>
          <w:tcPr>
            <w:tcW w:w="4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4982C" w14:textId="77777777" w:rsidR="00E61504" w:rsidRDefault="00E6150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9E949F" w14:textId="77777777" w:rsidR="00E61504" w:rsidRDefault="00EA3B4E">
            <w:pPr>
              <w:pStyle w:val="Standard"/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tr-TR" w:bidi="ar-SA"/>
              </w:rPr>
              <w:t>Ön Yeterlik Dokümanı Bölüm 2 – Özel Hükümler Madde 2.2.1’de BIM konusunda aşağıdaki ifade yer almaktadır;</w:t>
            </w:r>
          </w:p>
          <w:p w14:paraId="7EB859EB" w14:textId="77777777" w:rsidR="00E61504" w:rsidRDefault="00EA3B4E">
            <w:pPr>
              <w:pStyle w:val="Standard"/>
              <w:suppressAutoHyphens w:val="0"/>
              <w:ind w:left="720"/>
              <w:textAlignment w:val="auto"/>
              <w:rPr>
                <w:rFonts w:hint="eastAsi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tr-TR" w:bidi="ar-SA"/>
              </w:rPr>
              <w:t>“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eastAsia="tr-TR" w:bidi="ar-SA"/>
              </w:rPr>
              <w:t>Tüm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eastAsia="tr-TR" w:bidi="ar-SA"/>
              </w:rPr>
              <w:t xml:space="preserve"> tarafların Proje yaşam döngüsü boyunca verimli bir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eastAsia="tr-TR" w:bidi="ar-SA"/>
              </w:rPr>
              <w:t xml:space="preserve">şekilde işbirliği yapmasını sağlayan, üst yapı binaları ve/veya altyapı inşaat tasarımları için Bina Bilgi Modellemesi (BIM) deneyimi. Bu belge, genel 3B modelleme gerekliliklerini ve ilkelerini ve her aşamada gereken model tipi ve geliştirme düzeyi için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eastAsia="tr-TR" w:bidi="ar-SA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eastAsia="tr-TR" w:bidi="ar-SA"/>
              </w:rPr>
              <w:t>pesifikasyonları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eastAsia="tr-TR" w:bidi="ar-SA"/>
              </w:rPr>
              <w:t xml:space="preserve"> açıklar. (Bu gereklilik, Ortak Girişimin herhangi bir üyesi veya Başvuru Sahibi tarafından atanan alt danışman tarafından karşılanabilir.)”</w:t>
            </w:r>
          </w:p>
          <w:p w14:paraId="015E9B7D" w14:textId="77777777" w:rsidR="00E61504" w:rsidRDefault="00EA3B4E">
            <w:pPr>
              <w:pStyle w:val="Standard"/>
              <w:suppressAutoHyphens w:val="0"/>
              <w:ind w:left="72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eastAsia="tr-TR" w:bidi="ar-SA"/>
              </w:rPr>
              <w:t> </w:t>
            </w:r>
          </w:p>
          <w:p w14:paraId="257FBB7D" w14:textId="77777777" w:rsidR="00E61504" w:rsidRDefault="00EA3B4E">
            <w:pPr>
              <w:pStyle w:val="Standard"/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tr-TR" w:bidi="ar-SA"/>
              </w:rPr>
              <w:t>Buna ek olarak Madde 4.2.2’de Yeterlik Kriterleri arasında “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eastAsia="tr-TR" w:bidi="ar-SA"/>
              </w:rPr>
              <w:t>Üst yapı ve/veya alt yapı tasarımları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eastAsia="tr-TR" w:bidi="ar-SA"/>
              </w:rPr>
              <w:t xml:space="preserve"> için Yapı Bilgi Modellemesinde (BIM) Özel Deneyim” 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tr-TR" w:bidi="ar-SA"/>
              </w:rPr>
              <w:t>istenmektedir.</w:t>
            </w:r>
          </w:p>
          <w:p w14:paraId="30488347" w14:textId="77777777" w:rsidR="00E61504" w:rsidRDefault="00EA3B4E">
            <w:pPr>
              <w:pStyle w:val="Standard"/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tr-TR" w:bidi="ar-SA"/>
              </w:rPr>
              <w:t>Konuyla ilgili olarak yukarıda belirtilen ifadelerden, İdarenizin BIM konusunda spesifik bir iş bitirme belgesi mi yoksa BIM sertifikasyonu mu istendiği anlaşılamamaktadır.</w:t>
            </w:r>
          </w:p>
          <w:p w14:paraId="68E10A1A" w14:textId="77777777" w:rsidR="00E61504" w:rsidRDefault="00EA3B4E">
            <w:pPr>
              <w:pStyle w:val="Standard"/>
              <w:suppressAutoHyphens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tr-T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tr-TR" w:bidi="ar-SA"/>
              </w:rPr>
              <w:t xml:space="preserve">Dolayısıyla,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tr-TR" w:bidi="ar-SA"/>
              </w:rPr>
              <w:t xml:space="preserve">konuya açıklık getirilmesinin uygun olacağı değerlendirilmektedir. </w:t>
            </w:r>
          </w:p>
          <w:p w14:paraId="1C4D7EB2" w14:textId="77777777" w:rsidR="00E61504" w:rsidRDefault="00E61504">
            <w:pPr>
              <w:pStyle w:val="TableContents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23C64" w14:textId="77777777" w:rsidR="00E61504" w:rsidRDefault="00E61504">
            <w:pPr>
              <w:pStyle w:val="TableContents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  <w:p w14:paraId="44D3BE57" w14:textId="77777777" w:rsidR="00E61504" w:rsidRDefault="00EA3B4E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tr-TR" w:bidi="ar-SA"/>
              </w:rPr>
              <w:t xml:space="preserve">Ön Yeterlik Dokümanı Bölüm 2 – Özel Hükümler Madde 2.2.1 ile Madde 4.2.2’de Yeterlik Kriterleri kapsamında, üst yapı binaları ve/veya altyapı inşaat tasarımları için Bina Bilgi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tr-TR" w:bidi="ar-SA"/>
              </w:rPr>
              <w:t xml:space="preserve">Modellemesi (BIM) deneyiminin (BIM deneyimini tevsik eden   spesifik bir belge ve/veya iş bitirme belgesi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tr-TR" w:bidi="ar-SA"/>
              </w:rPr>
              <w:t>ile 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sz w:val="22"/>
                <w:szCs w:val="22"/>
                <w:lang w:eastAsia="tr-TR" w:bidi="ar-SA"/>
              </w:rPr>
              <w:t xml:space="preserve">  başvuru sahipleri tarafından sağlanması gerekmekte olup; söz konusu hükümler ile BIM sertifikasyonları kastedilmemektedir.</w:t>
            </w:r>
          </w:p>
          <w:p w14:paraId="0A39ECAC" w14:textId="77777777" w:rsidR="00E61504" w:rsidRDefault="00E6150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B392686" w14:textId="77777777" w:rsidR="00E61504" w:rsidRDefault="00E61504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87CAAF" w14:textId="77777777" w:rsidR="00E61504" w:rsidRDefault="00E61504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61504" w14:paraId="5A754141" w14:textId="77777777">
        <w:tblPrEx>
          <w:tblCellMar>
            <w:top w:w="0" w:type="dxa"/>
            <w:bottom w:w="0" w:type="dxa"/>
          </w:tblCellMar>
        </w:tblPrEx>
        <w:trPr>
          <w:trHeight w:val="5233"/>
        </w:trPr>
        <w:tc>
          <w:tcPr>
            <w:tcW w:w="4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CEFA2" w14:textId="77777777" w:rsidR="00E61504" w:rsidRDefault="00E6150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120886" w14:textId="77777777" w:rsidR="00E61504" w:rsidRDefault="00EA3B4E">
            <w:pPr>
              <w:pStyle w:val="Standard"/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tr-TR" w:bidi="ar-SA"/>
              </w:rPr>
              <w:t>Ön yeterlik ila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tr-TR" w:bidi="ar-SA"/>
              </w:rPr>
              <w:t xml:space="preserve">nını yayınlamış olduğunuz FRIT-III-KFW-DH-02 ihalesi ile ilgili olarak, yeterlik kriterleri (ÖH 4.2.2) arasında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tr-TR" w:bidi="ar-SA"/>
              </w:rPr>
              <w:t>“ Başvuru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tr-TR" w:bidi="ar-SA"/>
              </w:rPr>
              <w:t xml:space="preserve"> Sahibinin mevcut Uzmanlarının niteliksel değerlendirmesi” hususu da bulunmaktadır.</w:t>
            </w:r>
          </w:p>
          <w:p w14:paraId="05DDBB19" w14:textId="77777777" w:rsidR="00E61504" w:rsidRDefault="00EA3B4E">
            <w:pPr>
              <w:pStyle w:val="Standard"/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tr-TR" w:bidi="ar-SA"/>
              </w:rPr>
              <w:t xml:space="preserve">Bununla birlikte, resmi internet sitenizde bu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tr-TR" w:bidi="ar-SA"/>
              </w:rPr>
              <w:t>işin Özel Teknik Şartnamesi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tr-TR" w:bidi="ar-SA"/>
              </w:rPr>
              <w:t>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tr-TR" w:bidi="ar-SA"/>
              </w:rPr>
              <w:t>) yayınlanmamış olduğundan, hangi uzmanlıkların talep edildiği bilinememektedir.</w:t>
            </w:r>
          </w:p>
          <w:p w14:paraId="265F6D53" w14:textId="77777777" w:rsidR="00E61504" w:rsidRDefault="00EA3B4E">
            <w:pPr>
              <w:pStyle w:val="Standard"/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tr-TR" w:bidi="ar-SA"/>
              </w:rPr>
              <w:t xml:space="preserve">Dolayısıyla, ilgili şartnamenin isteklilere iletilmesi hususunu bilgilerinize arz ederiz. 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1C851" w14:textId="77777777" w:rsidR="00E61504" w:rsidRDefault="00E615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79EA9FD" w14:textId="77777777" w:rsidR="00E61504" w:rsidRDefault="00EA3B4E">
            <w:pPr>
              <w:pStyle w:val="Standard"/>
              <w:jc w:val="both"/>
              <w:rPr>
                <w:rFonts w:hint="eastAsia"/>
              </w:rPr>
            </w:pPr>
            <w:r>
              <w:rPr>
                <w:rStyle w:val="VarsaylanParagrafYazTipi1"/>
                <w:rFonts w:ascii="Times New Roman" w:hAnsi="Times New Roman" w:cs="Times New Roman"/>
                <w:sz w:val="22"/>
                <w:szCs w:val="22"/>
              </w:rPr>
              <w:t>Ön Yeterlik Şartnamesi Genel Hükümler 1.6.1 Maddesi</w:t>
            </w:r>
            <w:r>
              <w:rPr>
                <w:rStyle w:val="VarsaylanParagrafYazTipi1"/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>
              <w:rPr>
                <w:rStyle w:val="VarsaylanParagrafYazTipi1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Talep edilen danışmanlık hizmetlerinin kısa açıklaması </w:t>
            </w:r>
            <w:proofErr w:type="spellStart"/>
            <w:r>
              <w:rPr>
                <w:rStyle w:val="VarsaylanParagrafYazTipi1"/>
                <w:rFonts w:ascii="Times New Roman" w:hAnsi="Times New Roman" w:cs="Times New Roman"/>
                <w:i/>
                <w:iCs/>
                <w:sz w:val="22"/>
                <w:szCs w:val="22"/>
              </w:rPr>
              <w:t>ÖH'de</w:t>
            </w:r>
            <w:proofErr w:type="spellEnd"/>
            <w:r>
              <w:rPr>
                <w:rStyle w:val="VarsaylanParagrafYazTipi1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sunulmuştur.</w:t>
            </w:r>
            <w:r>
              <w:rPr>
                <w:rStyle w:val="VarsaylanParagrafYazTipi1"/>
                <w:rFonts w:ascii="Times New Roman" w:hAnsi="Times New Roman" w:cs="Times New Roman"/>
                <w:sz w:val="22"/>
                <w:szCs w:val="22"/>
              </w:rPr>
              <w:t>” ile</w:t>
            </w:r>
          </w:p>
          <w:p w14:paraId="3CEC0B3A" w14:textId="77777777" w:rsidR="00E61504" w:rsidRDefault="00E615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6779260" w14:textId="77777777" w:rsidR="00E61504" w:rsidRDefault="00EA3B4E">
            <w:pPr>
              <w:pStyle w:val="Standard"/>
              <w:jc w:val="both"/>
              <w:rPr>
                <w:rFonts w:hint="eastAsia"/>
              </w:rPr>
            </w:pPr>
            <w:r>
              <w:rPr>
                <w:rStyle w:val="VarsaylanParagrafYazTipi1"/>
                <w:rFonts w:ascii="Times New Roman" w:hAnsi="Times New Roman" w:cs="Times New Roman"/>
                <w:sz w:val="22"/>
                <w:szCs w:val="22"/>
              </w:rPr>
              <w:t>Özel Hükümler 1.6.1 Maddesinde “</w:t>
            </w:r>
            <w:r>
              <w:rPr>
                <w:rStyle w:val="VarsaylanParagrafYazTipi1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Bu görev kapsamında talep edilen Hizmetler, teknik ve mali tekliflerini sunmaları için davet aşamasında ön yeterliliğe sahip ve kısa </w:t>
            </w:r>
            <w:r>
              <w:rPr>
                <w:rStyle w:val="VarsaylanParagrafYazTipi1"/>
                <w:rFonts w:ascii="Times New Roman" w:hAnsi="Times New Roman" w:cs="Times New Roman"/>
                <w:i/>
                <w:iCs/>
                <w:sz w:val="22"/>
                <w:szCs w:val="22"/>
              </w:rPr>
              <w:t>listeye kalan başvuru sahiplerine sağlanacak olan Görev Tanımında (TOR) açıklanmaktadır.</w:t>
            </w:r>
            <w:r>
              <w:rPr>
                <w:rStyle w:val="VarsaylanParagrafYazTipi1"/>
                <w:rFonts w:ascii="Times New Roman" w:hAnsi="Times New Roman" w:cs="Times New Roman"/>
                <w:sz w:val="22"/>
                <w:szCs w:val="22"/>
              </w:rPr>
              <w:t xml:space="preserve">”  </w:t>
            </w:r>
            <w:proofErr w:type="gramStart"/>
            <w:r>
              <w:rPr>
                <w:rStyle w:val="VarsaylanParagrafYazTipi1"/>
                <w:rFonts w:ascii="Times New Roman" w:hAnsi="Times New Roman" w:cs="Times New Roman"/>
                <w:sz w:val="22"/>
                <w:szCs w:val="22"/>
              </w:rPr>
              <w:t>ifadeleri</w:t>
            </w:r>
            <w:proofErr w:type="gramEnd"/>
            <w:r>
              <w:rPr>
                <w:rStyle w:val="VarsaylanParagrafYazTipi1"/>
                <w:rFonts w:ascii="Times New Roman" w:hAnsi="Times New Roman" w:cs="Times New Roman"/>
                <w:sz w:val="22"/>
                <w:szCs w:val="22"/>
              </w:rPr>
              <w:t xml:space="preserve"> yer almakta olup; Görev Tanımı (</w:t>
            </w:r>
            <w:proofErr w:type="spellStart"/>
            <w:r>
              <w:rPr>
                <w:rStyle w:val="VarsaylanParagrafYazTipi1"/>
                <w:rFonts w:ascii="Times New Roman" w:hAnsi="Times New Roman" w:cs="Times New Roman"/>
                <w:sz w:val="22"/>
                <w:szCs w:val="22"/>
              </w:rPr>
              <w:t>ToR</w:t>
            </w:r>
            <w:proofErr w:type="spellEnd"/>
            <w:r>
              <w:rPr>
                <w:rStyle w:val="VarsaylanParagrafYazTipi1"/>
                <w:rFonts w:ascii="Times New Roman" w:hAnsi="Times New Roman" w:cs="Times New Roman"/>
                <w:sz w:val="22"/>
                <w:szCs w:val="22"/>
              </w:rPr>
              <w:t>) ön yeterlik aşamasından sonra,  teknik ve mali tekliflerin sunulmasına istinaden  kısa listeye kalan başvuru sahipleri</w:t>
            </w:r>
            <w:r>
              <w:rPr>
                <w:rStyle w:val="VarsaylanParagrafYazTipi1"/>
                <w:rFonts w:ascii="Times New Roman" w:hAnsi="Times New Roman" w:cs="Times New Roman"/>
                <w:sz w:val="22"/>
                <w:szCs w:val="22"/>
              </w:rPr>
              <w:t>ne sağlanacaktır.</w:t>
            </w:r>
          </w:p>
          <w:p w14:paraId="743752B3" w14:textId="77777777" w:rsidR="00E61504" w:rsidRDefault="00E615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96C9777" w14:textId="77777777" w:rsidR="00E61504" w:rsidRDefault="00EA3B4E">
            <w:pPr>
              <w:pStyle w:val="Standard"/>
              <w:jc w:val="both"/>
              <w:rPr>
                <w:rFonts w:hint="eastAsia"/>
              </w:rPr>
            </w:pPr>
            <w:r>
              <w:rPr>
                <w:rStyle w:val="VarsaylanParagrafYazTipi1"/>
                <w:rFonts w:ascii="Times New Roman" w:hAnsi="Times New Roman" w:cs="Times New Roman"/>
                <w:sz w:val="22"/>
                <w:szCs w:val="22"/>
              </w:rPr>
              <w:t>Form 6 Madde 2. İnsan Kaynakları Kapasitesi</w:t>
            </w:r>
          </w:p>
          <w:p w14:paraId="25FB5C37" w14:textId="77777777" w:rsidR="00E61504" w:rsidRDefault="00EA3B4E">
            <w:pPr>
              <w:pStyle w:val="Standard"/>
              <w:jc w:val="both"/>
              <w:rPr>
                <w:rFonts w:hint="eastAsia"/>
              </w:rPr>
            </w:pPr>
            <w:r>
              <w:rPr>
                <w:rStyle w:val="VarsaylanParagrafYazTipi1"/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“……. Buradaki odak nokta Başvuru Sahibinin gerekli uzmanlık hizmetleriyle ilgili insan kaynaklarının kapasitesi ve genişliğidir.” </w:t>
            </w:r>
            <w:r>
              <w:rPr>
                <w:rStyle w:val="VarsaylanParagrafYazTipi1"/>
                <w:rFonts w:ascii="Times New Roman" w:hAnsi="Times New Roman" w:cs="Times New Roman"/>
                <w:sz w:val="22"/>
                <w:szCs w:val="22"/>
              </w:rPr>
              <w:t>ifadesi doğrultusunda ön yeterlik aşamasında, ÖH Madde 2.2.1(d)</w:t>
            </w:r>
            <w:r>
              <w:rPr>
                <w:rStyle w:val="VarsaylanParagrafYazTipi1"/>
                <w:rFonts w:ascii="Times New Roman" w:hAnsi="Times New Roman" w:cs="Times New Roman"/>
                <w:sz w:val="22"/>
                <w:szCs w:val="22"/>
              </w:rPr>
              <w:t>(VI) Proje Referanslarında yer alan gerekli uzmanlık hizmetleriyle ilgili mevcut insan kaynaklarının kapasitesi ve genişliğinin başvuru sahipleri tarafından sunulması beklenmektedir.</w:t>
            </w:r>
          </w:p>
          <w:p w14:paraId="370D755C" w14:textId="77777777" w:rsidR="00E61504" w:rsidRDefault="00E615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A5C19EC" w14:textId="77777777" w:rsidR="00E61504" w:rsidRDefault="00EA3B4E">
            <w:pPr>
              <w:pStyle w:val="Standard"/>
              <w:jc w:val="both"/>
              <w:rPr>
                <w:rFonts w:hint="eastAsia"/>
              </w:rPr>
            </w:pPr>
            <w:r>
              <w:rPr>
                <w:rStyle w:val="VarsaylanParagrafYazTipi1"/>
                <w:rFonts w:ascii="Times New Roman" w:hAnsi="Times New Roman" w:cs="Times New Roman"/>
                <w:sz w:val="22"/>
                <w:szCs w:val="22"/>
              </w:rPr>
              <w:t>Yine Form 6 1. İhale Konusu İş için Gerekli Olan Uzmanlara Ulaşım maddes</w:t>
            </w:r>
            <w:r>
              <w:rPr>
                <w:rStyle w:val="VarsaylanParagrafYazTipi1"/>
                <w:rFonts w:ascii="Times New Roman" w:hAnsi="Times New Roman" w:cs="Times New Roman"/>
                <w:sz w:val="22"/>
                <w:szCs w:val="22"/>
              </w:rPr>
              <w:t>i gereği, Başvuru Sahibi potansiyel bir proje ekibini bu aşamada sunmayacaktır.</w:t>
            </w:r>
          </w:p>
          <w:p w14:paraId="5A5B41DB" w14:textId="77777777" w:rsidR="00E61504" w:rsidRDefault="00E615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9FA6791" w14:textId="77777777" w:rsidR="00E61504" w:rsidRDefault="00E615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6640CEE" w14:textId="77777777" w:rsidR="00E61504" w:rsidRDefault="00E615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750C5A1" w14:textId="77777777" w:rsidR="00E61504" w:rsidRDefault="00E61504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BA69B0" w14:textId="77777777" w:rsidR="00E61504" w:rsidRDefault="00E61504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61504" w14:paraId="641D48C7" w14:textId="77777777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4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53CEB" w14:textId="77777777" w:rsidR="00E61504" w:rsidRDefault="00EA3B4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FRIT-III-KFW-DH-02 referans numaralı, yukarıda ismi belirtilen projenin İlgi Beyanı değerlendirmesinde, başvuru sahibinin deneyimi kriteri başlığı altında, eşitlik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durumunda öncelikli değerlendirme kriteri ile ilgili açıklama talebimiz bulunmaktadır. 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EE932" w14:textId="77777777" w:rsidR="00E61504" w:rsidRDefault="00EA3B4E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Değerlendirme, ihale komisyonu tarafından ÖH Madde 4.2.2 doğrultusunda yapılacak olup; söz konusu kriterler çerçevesinde yapılacak puanlamalar sonucunda kısa listeye gi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rmeye hak kazanan başvuru sahipleri belirlenecektir.</w:t>
            </w:r>
          </w:p>
        </w:tc>
        <w:tc>
          <w:tcPr>
            <w:tcW w:w="7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151D99" w14:textId="77777777" w:rsidR="00E61504" w:rsidRDefault="00E61504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527DDE19" w14:textId="77777777" w:rsidR="00E61504" w:rsidRDefault="00E61504">
      <w:pPr>
        <w:pStyle w:val="Standarduser"/>
        <w:rPr>
          <w:rFonts w:ascii="Times New Roman" w:hAnsi="Times New Roman" w:cs="Times New Roman"/>
          <w:sz w:val="22"/>
          <w:szCs w:val="22"/>
        </w:rPr>
      </w:pPr>
    </w:p>
    <w:sectPr w:rsidR="00E615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4ECF7" w14:textId="77777777" w:rsidR="00EA3B4E" w:rsidRDefault="00EA3B4E">
      <w:pPr>
        <w:rPr>
          <w:rFonts w:hint="eastAsia"/>
        </w:rPr>
      </w:pPr>
      <w:r>
        <w:separator/>
      </w:r>
    </w:p>
  </w:endnote>
  <w:endnote w:type="continuationSeparator" w:id="0">
    <w:p w14:paraId="2E5F1A14" w14:textId="77777777" w:rsidR="00EA3B4E" w:rsidRDefault="00EA3B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2701" w14:textId="77777777" w:rsidR="00EA3B4E" w:rsidRDefault="00EA3B4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3A6CDE0" w14:textId="77777777" w:rsidR="00EA3B4E" w:rsidRDefault="00EA3B4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226B"/>
    <w:multiLevelType w:val="multilevel"/>
    <w:tmpl w:val="371C8E8C"/>
    <w:styleLink w:val="WWNum14"/>
    <w:lvl w:ilvl="0">
      <w:start w:val="1"/>
      <w:numFmt w:val="lowerRoman"/>
      <w:lvlText w:val="%1."/>
      <w:lvlJc w:val="righ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2AE5A9A"/>
    <w:multiLevelType w:val="multilevel"/>
    <w:tmpl w:val="F89E7AC8"/>
    <w:styleLink w:val="WWNum5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C10A3"/>
    <w:multiLevelType w:val="multilevel"/>
    <w:tmpl w:val="F1D2C06E"/>
    <w:styleLink w:val="WWNum15"/>
    <w:lvl w:ilvl="0">
      <w:start w:val="1"/>
      <w:numFmt w:val="lowerRoman"/>
      <w:lvlText w:val="%1."/>
      <w:lvlJc w:val="righ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F5C194C"/>
    <w:multiLevelType w:val="multilevel"/>
    <w:tmpl w:val="60F86A32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38071323"/>
    <w:multiLevelType w:val="multilevel"/>
    <w:tmpl w:val="D5F6E278"/>
    <w:styleLink w:val="WWNum11"/>
    <w:lvl w:ilvl="0">
      <w:start w:val="1"/>
      <w:numFmt w:val="lowerRoman"/>
      <w:lvlText w:val="%1."/>
      <w:lvlJc w:val="righ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94F3DCD"/>
    <w:multiLevelType w:val="multilevel"/>
    <w:tmpl w:val="4A3AE134"/>
    <w:styleLink w:val="WWNum19"/>
    <w:lvl w:ilvl="0">
      <w:start w:val="1"/>
      <w:numFmt w:val="lowerRoman"/>
      <w:lvlText w:val="%1."/>
      <w:lvlJc w:val="left"/>
      <w:pPr>
        <w:ind w:left="1080" w:hanging="720"/>
      </w:pPr>
      <w:rPr>
        <w:rFonts w:cs="Lucida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D3E33"/>
    <w:multiLevelType w:val="multilevel"/>
    <w:tmpl w:val="BE26353A"/>
    <w:styleLink w:val="WWNum10"/>
    <w:lvl w:ilvl="0">
      <w:start w:val="1"/>
      <w:numFmt w:val="lowerRoman"/>
      <w:lvlText w:val="%1."/>
      <w:lvlJc w:val="righ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A7D5421"/>
    <w:multiLevelType w:val="multilevel"/>
    <w:tmpl w:val="91A0170C"/>
    <w:styleLink w:val="WWNum9"/>
    <w:lvl w:ilvl="0">
      <w:start w:val="1"/>
      <w:numFmt w:val="lowerRoman"/>
      <w:lvlText w:val="%1."/>
      <w:lvlJc w:val="righ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C5B7D49"/>
    <w:multiLevelType w:val="multilevel"/>
    <w:tmpl w:val="43662C0C"/>
    <w:styleLink w:val="WWNum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463C"/>
    <w:multiLevelType w:val="multilevel"/>
    <w:tmpl w:val="72521AEA"/>
    <w:styleLink w:val="WWNum17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17322"/>
    <w:multiLevelType w:val="multilevel"/>
    <w:tmpl w:val="6D78FC18"/>
    <w:styleLink w:val="WWNum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A520A"/>
    <w:multiLevelType w:val="multilevel"/>
    <w:tmpl w:val="025E2B78"/>
    <w:styleLink w:val="WWNum12"/>
    <w:lvl w:ilvl="0">
      <w:start w:val="1"/>
      <w:numFmt w:val="lowerRoman"/>
      <w:lvlText w:val="%1."/>
      <w:lvlJc w:val="righ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5BD01753"/>
    <w:multiLevelType w:val="multilevel"/>
    <w:tmpl w:val="0546D26C"/>
    <w:styleLink w:val="WWNum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E7B6B"/>
    <w:multiLevelType w:val="multilevel"/>
    <w:tmpl w:val="1EB8C120"/>
    <w:styleLink w:val="WWNum16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118FB"/>
    <w:multiLevelType w:val="multilevel"/>
    <w:tmpl w:val="F17CB0B0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D5034"/>
    <w:multiLevelType w:val="multilevel"/>
    <w:tmpl w:val="5DB0A572"/>
    <w:styleLink w:val="WWNum18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A11C7"/>
    <w:multiLevelType w:val="multilevel"/>
    <w:tmpl w:val="7CC0551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83C2B"/>
    <w:multiLevelType w:val="multilevel"/>
    <w:tmpl w:val="E764724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06A7E"/>
    <w:multiLevelType w:val="multilevel"/>
    <w:tmpl w:val="4BE054E0"/>
    <w:styleLink w:val="WWNum8"/>
    <w:lvl w:ilvl="0">
      <w:start w:val="1"/>
      <w:numFmt w:val="lowerRoman"/>
      <w:lvlText w:val="%1."/>
      <w:lvlJc w:val="righ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7D02157F"/>
    <w:multiLevelType w:val="multilevel"/>
    <w:tmpl w:val="E0BAFA46"/>
    <w:styleLink w:val="WWNum13"/>
    <w:lvl w:ilvl="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7"/>
  </w:num>
  <w:num w:numId="5">
    <w:abstractNumId w:val="8"/>
  </w:num>
  <w:num w:numId="6">
    <w:abstractNumId w:val="1"/>
  </w:num>
  <w:num w:numId="7">
    <w:abstractNumId w:val="12"/>
  </w:num>
  <w:num w:numId="8">
    <w:abstractNumId w:val="16"/>
  </w:num>
  <w:num w:numId="9">
    <w:abstractNumId w:val="18"/>
  </w:num>
  <w:num w:numId="10">
    <w:abstractNumId w:val="7"/>
  </w:num>
  <w:num w:numId="11">
    <w:abstractNumId w:val="6"/>
  </w:num>
  <w:num w:numId="12">
    <w:abstractNumId w:val="4"/>
  </w:num>
  <w:num w:numId="13">
    <w:abstractNumId w:val="11"/>
  </w:num>
  <w:num w:numId="14">
    <w:abstractNumId w:val="19"/>
  </w:num>
  <w:num w:numId="15">
    <w:abstractNumId w:val="0"/>
  </w:num>
  <w:num w:numId="16">
    <w:abstractNumId w:val="2"/>
  </w:num>
  <w:num w:numId="17">
    <w:abstractNumId w:val="13"/>
  </w:num>
  <w:num w:numId="18">
    <w:abstractNumId w:val="9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1504"/>
    <w:rsid w:val="004A0414"/>
    <w:rsid w:val="00E61504"/>
    <w:rsid w:val="00EA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6FD5"/>
  <w15:docId w15:val="{43054105-8DD6-4E52-8A08-CF1E6B07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tr-TR" w:bidi="ar-SA"/>
    </w:rPr>
  </w:style>
  <w:style w:type="paragraph" w:styleId="Liste">
    <w:name w:val="List"/>
    <w:basedOn w:val="Textbodyuser"/>
  </w:style>
  <w:style w:type="paragraph" w:styleId="ResimYazs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Style7">
    <w:name w:val="Style 7"/>
    <w:basedOn w:val="Standarduser"/>
    <w:pPr>
      <w:widowControl w:val="0"/>
      <w:spacing w:line="480" w:lineRule="auto"/>
      <w:jc w:val="center"/>
    </w:pPr>
    <w:rPr>
      <w:rFonts w:eastAsia="Times New Roman"/>
      <w:lang w:val="en-US" w:bidi="ar-SA"/>
    </w:rPr>
  </w:style>
  <w:style w:type="paragraph" w:customStyle="1" w:styleId="DEStandardL3">
    <w:name w:val="DE Standard L3"/>
    <w:basedOn w:val="Standarduser"/>
    <w:next w:val="GvdeMetni21"/>
    <w:pPr>
      <w:spacing w:before="240"/>
      <w:outlineLvl w:val="2"/>
    </w:pPr>
    <w:rPr>
      <w:rFonts w:ascii="Arial" w:eastAsia="Arial" w:hAnsi="Arial" w:cs="Arial"/>
      <w:szCs w:val="20"/>
    </w:rPr>
  </w:style>
  <w:style w:type="paragraph" w:customStyle="1" w:styleId="GvdeMetni21">
    <w:name w:val="Gövde Metni 21"/>
    <w:basedOn w:val="Standarduser"/>
    <w:pPr>
      <w:ind w:left="1440"/>
    </w:pPr>
    <w:rPr>
      <w:rFonts w:cs="Simplified Arabic"/>
    </w:rPr>
  </w:style>
  <w:style w:type="paragraph" w:customStyle="1" w:styleId="CommentText1">
    <w:name w:val="Comment Text1"/>
    <w:basedOn w:val="Standard"/>
    <w:rPr>
      <w:rFonts w:cs="Mangal"/>
      <w:sz w:val="20"/>
      <w:szCs w:val="18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styleId="Dzeltme">
    <w:name w:val="Revision"/>
    <w:pPr>
      <w:widowControl/>
      <w:suppressAutoHyphens/>
      <w:textAlignment w:val="auto"/>
    </w:pPr>
    <w:rPr>
      <w:rFonts w:cs="Mangal"/>
      <w:szCs w:val="21"/>
    </w:rPr>
  </w:style>
  <w:style w:type="paragraph" w:customStyle="1" w:styleId="CommentText">
    <w:name w:val="Comment Text"/>
    <w:basedOn w:val="Standard"/>
    <w:rPr>
      <w:rFonts w:cs="Mangal"/>
      <w:sz w:val="20"/>
      <w:szCs w:val="18"/>
    </w:rPr>
  </w:style>
  <w:style w:type="paragraph" w:styleId="BalonMetni">
    <w:name w:val="Balloon Text"/>
    <w:basedOn w:val="Standard"/>
    <w:rPr>
      <w:rFonts w:ascii="Segoe UI" w:eastAsia="Segoe UI" w:hAnsi="Segoe UI" w:cs="Mangal"/>
      <w:sz w:val="18"/>
      <w:szCs w:val="16"/>
    </w:rPr>
  </w:style>
  <w:style w:type="paragraph" w:customStyle="1" w:styleId="stbilgi1">
    <w:name w:val="Üstbilgi1"/>
    <w:basedOn w:val="Standard"/>
    <w:pPr>
      <w:jc w:val="both"/>
    </w:pPr>
    <w:rPr>
      <w:rFonts w:ascii="Times New Roman" w:eastAsia="SimSun" w:hAnsi="Times New Roman" w:cs="Simplified Arabic"/>
      <w:kern w:val="0"/>
      <w:lang w:val="en-GB" w:eastAsia="en-GB" w:bidi="en-GB"/>
    </w:rPr>
  </w:style>
  <w:style w:type="paragraph" w:customStyle="1" w:styleId="Altbilgi1">
    <w:name w:val="Altbilgi1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Default">
    <w:name w:val="Default"/>
    <w:pPr>
      <w:widowControl/>
      <w:suppressAutoHyphens/>
      <w:textAlignment w:val="auto"/>
    </w:pPr>
    <w:rPr>
      <w:rFonts w:ascii="Arial" w:eastAsia="Arial" w:hAnsi="Arial" w:cs="Arial"/>
      <w:color w:val="000000"/>
      <w:kern w:val="0"/>
      <w:lang w:bidi="ar-SA"/>
    </w:rPr>
  </w:style>
  <w:style w:type="paragraph" w:styleId="ListeParagraf">
    <w:name w:val="List Paragraph"/>
    <w:basedOn w:val="Standard"/>
    <w:pPr>
      <w:ind w:left="720"/>
    </w:pPr>
    <w:rPr>
      <w:rFonts w:cs="Mangal"/>
      <w:szCs w:val="21"/>
    </w:rPr>
  </w:style>
  <w:style w:type="paragraph" w:customStyle="1" w:styleId="xmsonormal">
    <w:name w:val="x_msonormal"/>
    <w:basedOn w:val="Standard"/>
    <w:pPr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eastAsia="tr-TR" w:bidi="ar-SA"/>
    </w:rPr>
  </w:style>
  <w:style w:type="character" w:customStyle="1" w:styleId="VarsaylanParagrafYazTipi1">
    <w:name w:val="Varsayılan Paragraf Yazı Tipi1"/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CommentReference1">
    <w:name w:val="Comment Reference1"/>
    <w:basedOn w:val="VarsaylanParagrafYazTipi"/>
    <w:rPr>
      <w:sz w:val="16"/>
      <w:szCs w:val="16"/>
    </w:rPr>
  </w:style>
  <w:style w:type="character" w:customStyle="1" w:styleId="CommentTextChar">
    <w:name w:val="Comment Text Char"/>
    <w:basedOn w:val="VarsaylanParagrafYazTipi"/>
    <w:rPr>
      <w:rFonts w:cs="Mangal"/>
      <w:sz w:val="20"/>
      <w:szCs w:val="18"/>
    </w:rPr>
  </w:style>
  <w:style w:type="character" w:customStyle="1" w:styleId="CommentSubjectChar">
    <w:name w:val="Comment Subject Char"/>
    <w:basedOn w:val="CommentTextChar"/>
    <w:rPr>
      <w:rFonts w:cs="Mangal"/>
      <w:b/>
      <w:bCs/>
      <w:sz w:val="20"/>
      <w:szCs w:val="18"/>
    </w:rPr>
  </w:style>
  <w:style w:type="character" w:customStyle="1" w:styleId="AklamaMetniChar">
    <w:name w:val="Açıklama Metni Char"/>
    <w:basedOn w:val="VarsaylanParagrafYazTipi"/>
    <w:rPr>
      <w:rFonts w:cs="Mangal"/>
      <w:sz w:val="20"/>
      <w:szCs w:val="18"/>
    </w:rPr>
  </w:style>
  <w:style w:type="character" w:customStyle="1" w:styleId="CommentReference">
    <w:name w:val="Comment Reference"/>
    <w:basedOn w:val="VarsaylanParagrafYazTipi"/>
    <w:rPr>
      <w:sz w:val="16"/>
      <w:szCs w:val="16"/>
    </w:rPr>
  </w:style>
  <w:style w:type="character" w:customStyle="1" w:styleId="BalonMetniChar">
    <w:name w:val="Balon Metni Char"/>
    <w:basedOn w:val="VarsaylanParagrafYazTipi"/>
    <w:rPr>
      <w:rFonts w:ascii="Segoe UI" w:eastAsia="Segoe UI" w:hAnsi="Segoe UI" w:cs="Mangal"/>
      <w:sz w:val="18"/>
      <w:szCs w:val="16"/>
    </w:rPr>
  </w:style>
  <w:style w:type="character" w:customStyle="1" w:styleId="stbilgiChar">
    <w:name w:val="Üstbilgi Char"/>
    <w:basedOn w:val="VarsaylanParagrafYazTipi"/>
    <w:rPr>
      <w:rFonts w:cs="Mangal"/>
      <w:szCs w:val="21"/>
    </w:rPr>
  </w:style>
  <w:style w:type="character" w:customStyle="1" w:styleId="AltbilgiChar">
    <w:name w:val="Altbilgi Char"/>
    <w:basedOn w:val="VarsaylanParagrafYazTipi"/>
    <w:rPr>
      <w:rFonts w:cs="Mangal"/>
      <w:szCs w:val="21"/>
    </w:rPr>
  </w:style>
  <w:style w:type="character" w:customStyle="1" w:styleId="GvdeMetniChar">
    <w:name w:val="Gövde Metni Char"/>
    <w:basedOn w:val="VarsaylanParagrafYazTipi"/>
    <w:rPr>
      <w:rFonts w:ascii="Times New Roman" w:eastAsia="Times New Roman" w:hAnsi="Times New Roman" w:cs="Times New Roman"/>
      <w:kern w:val="0"/>
      <w:szCs w:val="20"/>
      <w:lang w:eastAsia="tr-TR" w:bidi="ar-SA"/>
    </w:rPr>
  </w:style>
  <w:style w:type="character" w:customStyle="1" w:styleId="Internetlink">
    <w:name w:val="Internet link"/>
    <w:basedOn w:val="VarsaylanParagrafYazTipi"/>
    <w:rPr>
      <w:color w:val="0563C1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Lucida Sans"/>
    </w:rPr>
  </w:style>
  <w:style w:type="paragraph" w:customStyle="1" w:styleId="CommentSubject">
    <w:name w:val="Comment Subject"/>
    <w:basedOn w:val="CommentText"/>
    <w:next w:val="CommentText"/>
    <w:pPr>
      <w:widowControl w:val="0"/>
    </w:pPr>
    <w:rPr>
      <w:b/>
      <w:bCs/>
    </w:rPr>
  </w:style>
  <w:style w:type="character" w:customStyle="1" w:styleId="StandardChar">
    <w:name w:val="Standard Char"/>
    <w:basedOn w:val="VarsaylanParagrafYazTipi"/>
  </w:style>
  <w:style w:type="character" w:customStyle="1" w:styleId="CommentTextChar1">
    <w:name w:val="Comment Text Char1"/>
    <w:basedOn w:val="StandardChar"/>
    <w:rPr>
      <w:rFonts w:cs="Mangal"/>
      <w:sz w:val="20"/>
      <w:szCs w:val="18"/>
    </w:rPr>
  </w:style>
  <w:style w:type="character" w:customStyle="1" w:styleId="CommentSubjectChar1">
    <w:name w:val="Comment Subject Char1"/>
    <w:basedOn w:val="CommentTextChar1"/>
    <w:rPr>
      <w:rFonts w:cs="Mangal"/>
      <w:b/>
      <w:bCs/>
      <w:sz w:val="20"/>
      <w:szCs w:val="18"/>
    </w:rPr>
  </w:style>
  <w:style w:type="paragraph" w:styleId="AklamaMetni">
    <w:name w:val="annotation text"/>
    <w:basedOn w:val="Normal"/>
    <w:rPr>
      <w:rFonts w:cs="Mangal"/>
      <w:sz w:val="20"/>
      <w:szCs w:val="18"/>
    </w:rPr>
  </w:style>
  <w:style w:type="character" w:customStyle="1" w:styleId="AklamaMetniChar1">
    <w:name w:val="Açıklama Metni Char1"/>
    <w:basedOn w:val="VarsaylanParagrafYazTipi"/>
    <w:rPr>
      <w:rFonts w:cs="Mangal"/>
      <w:sz w:val="20"/>
      <w:szCs w:val="18"/>
    </w:rPr>
  </w:style>
  <w:style w:type="character" w:styleId="AklamaBavurusu">
    <w:name w:val="annotation reference"/>
    <w:basedOn w:val="VarsaylanParagrafYazTipi"/>
    <w:rPr>
      <w:sz w:val="16"/>
      <w:szCs w:val="16"/>
    </w:rPr>
  </w:style>
  <w:style w:type="numbering" w:customStyle="1" w:styleId="NoList1">
    <w:name w:val="No List_1"/>
    <w:basedOn w:val="ListeYok"/>
    <w:pPr>
      <w:numPr>
        <w:numId w:val="1"/>
      </w:numPr>
    </w:pPr>
  </w:style>
  <w:style w:type="numbering" w:customStyle="1" w:styleId="WWNum1">
    <w:name w:val="WWNum1"/>
    <w:basedOn w:val="ListeYok"/>
    <w:pPr>
      <w:numPr>
        <w:numId w:val="2"/>
      </w:numPr>
    </w:pPr>
  </w:style>
  <w:style w:type="numbering" w:customStyle="1" w:styleId="WWNum2">
    <w:name w:val="WWNum2"/>
    <w:basedOn w:val="ListeYok"/>
    <w:pPr>
      <w:numPr>
        <w:numId w:val="3"/>
      </w:numPr>
    </w:pPr>
  </w:style>
  <w:style w:type="numbering" w:customStyle="1" w:styleId="WWNum3">
    <w:name w:val="WWNum3"/>
    <w:basedOn w:val="ListeYok"/>
    <w:pPr>
      <w:numPr>
        <w:numId w:val="4"/>
      </w:numPr>
    </w:pPr>
  </w:style>
  <w:style w:type="numbering" w:customStyle="1" w:styleId="WWNum4">
    <w:name w:val="WWNum4"/>
    <w:basedOn w:val="ListeYok"/>
    <w:pPr>
      <w:numPr>
        <w:numId w:val="5"/>
      </w:numPr>
    </w:pPr>
  </w:style>
  <w:style w:type="numbering" w:customStyle="1" w:styleId="WWNum5">
    <w:name w:val="WWNum5"/>
    <w:basedOn w:val="ListeYok"/>
    <w:pPr>
      <w:numPr>
        <w:numId w:val="6"/>
      </w:numPr>
    </w:pPr>
  </w:style>
  <w:style w:type="numbering" w:customStyle="1" w:styleId="WWNum6">
    <w:name w:val="WWNum6"/>
    <w:basedOn w:val="ListeYok"/>
    <w:pPr>
      <w:numPr>
        <w:numId w:val="7"/>
      </w:numPr>
    </w:pPr>
  </w:style>
  <w:style w:type="numbering" w:customStyle="1" w:styleId="WWNum7">
    <w:name w:val="WWNum7"/>
    <w:basedOn w:val="ListeYok"/>
    <w:pPr>
      <w:numPr>
        <w:numId w:val="8"/>
      </w:numPr>
    </w:pPr>
  </w:style>
  <w:style w:type="numbering" w:customStyle="1" w:styleId="WWNum8">
    <w:name w:val="WWNum8"/>
    <w:basedOn w:val="ListeYok"/>
    <w:pPr>
      <w:numPr>
        <w:numId w:val="9"/>
      </w:numPr>
    </w:pPr>
  </w:style>
  <w:style w:type="numbering" w:customStyle="1" w:styleId="WWNum9">
    <w:name w:val="WWNum9"/>
    <w:basedOn w:val="ListeYok"/>
    <w:pPr>
      <w:numPr>
        <w:numId w:val="10"/>
      </w:numPr>
    </w:pPr>
  </w:style>
  <w:style w:type="numbering" w:customStyle="1" w:styleId="WWNum10">
    <w:name w:val="WWNum10"/>
    <w:basedOn w:val="ListeYok"/>
    <w:pPr>
      <w:numPr>
        <w:numId w:val="11"/>
      </w:numPr>
    </w:pPr>
  </w:style>
  <w:style w:type="numbering" w:customStyle="1" w:styleId="WWNum11">
    <w:name w:val="WWNum11"/>
    <w:basedOn w:val="ListeYok"/>
    <w:pPr>
      <w:numPr>
        <w:numId w:val="12"/>
      </w:numPr>
    </w:pPr>
  </w:style>
  <w:style w:type="numbering" w:customStyle="1" w:styleId="WWNum12">
    <w:name w:val="WWNum12"/>
    <w:basedOn w:val="ListeYok"/>
    <w:pPr>
      <w:numPr>
        <w:numId w:val="13"/>
      </w:numPr>
    </w:pPr>
  </w:style>
  <w:style w:type="numbering" w:customStyle="1" w:styleId="WWNum13">
    <w:name w:val="WWNum13"/>
    <w:basedOn w:val="ListeYok"/>
    <w:pPr>
      <w:numPr>
        <w:numId w:val="14"/>
      </w:numPr>
    </w:pPr>
  </w:style>
  <w:style w:type="numbering" w:customStyle="1" w:styleId="WWNum14">
    <w:name w:val="WWNum14"/>
    <w:basedOn w:val="ListeYok"/>
    <w:pPr>
      <w:numPr>
        <w:numId w:val="15"/>
      </w:numPr>
    </w:pPr>
  </w:style>
  <w:style w:type="numbering" w:customStyle="1" w:styleId="WWNum15">
    <w:name w:val="WWNum15"/>
    <w:basedOn w:val="ListeYok"/>
    <w:pPr>
      <w:numPr>
        <w:numId w:val="16"/>
      </w:numPr>
    </w:pPr>
  </w:style>
  <w:style w:type="numbering" w:customStyle="1" w:styleId="WWNum16">
    <w:name w:val="WWNum16"/>
    <w:basedOn w:val="ListeYok"/>
    <w:pPr>
      <w:numPr>
        <w:numId w:val="17"/>
      </w:numPr>
    </w:pPr>
  </w:style>
  <w:style w:type="numbering" w:customStyle="1" w:styleId="WWNum17">
    <w:name w:val="WWNum17"/>
    <w:basedOn w:val="ListeYok"/>
    <w:pPr>
      <w:numPr>
        <w:numId w:val="18"/>
      </w:numPr>
    </w:pPr>
  </w:style>
  <w:style w:type="numbering" w:customStyle="1" w:styleId="WWNum18">
    <w:name w:val="WWNum18"/>
    <w:basedOn w:val="ListeYok"/>
    <w:pPr>
      <w:numPr>
        <w:numId w:val="19"/>
      </w:numPr>
    </w:pPr>
  </w:style>
  <w:style w:type="numbering" w:customStyle="1" w:styleId="WWNum19">
    <w:name w:val="WWNum19"/>
    <w:basedOn w:val="ListeYok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 KARACIGER</dc:creator>
  <cp:lastModifiedBy>Levent GULSOY</cp:lastModifiedBy>
  <cp:revision>2</cp:revision>
  <dcterms:created xsi:type="dcterms:W3CDTF">2021-11-23T09:39:00Z</dcterms:created>
  <dcterms:modified xsi:type="dcterms:W3CDTF">2021-11-23T09:39:00Z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