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C7CC" w14:textId="77777777" w:rsidR="00085F14" w:rsidRPr="00220EBB" w:rsidRDefault="00085F14" w:rsidP="00035A29">
      <w:pPr>
        <w:pStyle w:val="NormalWeb"/>
        <w:spacing w:before="0" w:beforeAutospacing="0" w:after="150" w:afterAutospacing="0"/>
        <w:jc w:val="center"/>
        <w:rPr>
          <w:color w:val="333333"/>
        </w:rPr>
      </w:pPr>
      <w:r w:rsidRPr="00220EBB">
        <w:rPr>
          <w:rStyle w:val="Gl"/>
          <w:color w:val="333333"/>
        </w:rPr>
        <w:t>REQUEST FOR EXPRESSIONS OF INTEREST</w:t>
      </w:r>
    </w:p>
    <w:p w14:paraId="0A719DED" w14:textId="77777777" w:rsidR="00085F14" w:rsidRPr="00220EBB" w:rsidRDefault="00085F14" w:rsidP="00035A29">
      <w:pPr>
        <w:pStyle w:val="NormalWeb"/>
        <w:spacing w:before="0" w:beforeAutospacing="0" w:after="150" w:afterAutospacing="0"/>
        <w:jc w:val="center"/>
        <w:rPr>
          <w:color w:val="333333"/>
        </w:rPr>
      </w:pPr>
      <w:r w:rsidRPr="00220EBB">
        <w:rPr>
          <w:rStyle w:val="Gl"/>
          <w:color w:val="333333"/>
        </w:rPr>
        <w:t>(CONSULTING SERVICES – FIRMS SELECTION)</w:t>
      </w:r>
    </w:p>
    <w:p w14:paraId="43C44525" w14:textId="17F0A077" w:rsidR="00085F14" w:rsidRPr="00220EBB" w:rsidRDefault="00085F14" w:rsidP="00035A29">
      <w:pPr>
        <w:pStyle w:val="NormalWeb"/>
        <w:spacing w:before="0" w:beforeAutospacing="0" w:after="150" w:afterAutospacing="0"/>
        <w:jc w:val="center"/>
        <w:rPr>
          <w:color w:val="333333"/>
        </w:rPr>
      </w:pPr>
    </w:p>
    <w:p w14:paraId="5B9D712F" w14:textId="0548BB71" w:rsidR="00085F14" w:rsidRPr="00220EBB" w:rsidRDefault="00085F14" w:rsidP="00035A29">
      <w:pPr>
        <w:pStyle w:val="NormalWeb"/>
        <w:spacing w:before="0" w:beforeAutospacing="0" w:after="150" w:afterAutospacing="0"/>
        <w:jc w:val="center"/>
        <w:rPr>
          <w:color w:val="333333"/>
        </w:rPr>
      </w:pPr>
    </w:p>
    <w:p w14:paraId="420C029F" w14:textId="77777777" w:rsidR="006B338F" w:rsidRPr="00220EBB" w:rsidRDefault="00085F14" w:rsidP="00035A29">
      <w:pPr>
        <w:pStyle w:val="NormalWeb"/>
        <w:spacing w:before="0" w:beforeAutospacing="0" w:after="150" w:afterAutospacing="0"/>
        <w:jc w:val="center"/>
        <w:rPr>
          <w:rStyle w:val="Gl"/>
          <w:color w:val="333333"/>
        </w:rPr>
      </w:pPr>
      <w:r w:rsidRPr="00220EBB">
        <w:rPr>
          <w:rStyle w:val="Gl"/>
          <w:color w:val="333333"/>
        </w:rPr>
        <w:t>TURKEY</w:t>
      </w:r>
    </w:p>
    <w:p w14:paraId="61CD72D7" w14:textId="77777777" w:rsidR="006B338F" w:rsidRPr="00220EBB" w:rsidRDefault="006B338F" w:rsidP="00035A29">
      <w:pPr>
        <w:pStyle w:val="NormalWeb"/>
        <w:spacing w:before="0" w:beforeAutospacing="0" w:after="150" w:afterAutospacing="0"/>
        <w:jc w:val="center"/>
        <w:rPr>
          <w:rStyle w:val="Gl"/>
          <w:color w:val="333333"/>
        </w:rPr>
      </w:pPr>
      <w:r w:rsidRPr="00220EBB">
        <w:rPr>
          <w:rStyle w:val="Gl"/>
          <w:color w:val="333333"/>
        </w:rPr>
        <w:t>DISASTER RISK MANAGEMENT IN SCHOOLS PROJECT (P157683)</w:t>
      </w:r>
    </w:p>
    <w:p w14:paraId="21BB7D38" w14:textId="524B9918" w:rsidR="006B338F" w:rsidRPr="00220EBB" w:rsidRDefault="006B338F" w:rsidP="00035A29">
      <w:pPr>
        <w:pStyle w:val="NormalWeb"/>
        <w:spacing w:before="0" w:beforeAutospacing="0" w:after="150" w:afterAutospacing="0"/>
        <w:jc w:val="center"/>
        <w:rPr>
          <w:b/>
          <w:bCs/>
        </w:rPr>
      </w:pPr>
      <w:r w:rsidRPr="00220EBB">
        <w:rPr>
          <w:b/>
          <w:bCs/>
        </w:rPr>
        <w:t>COMPONENT 1: IMPROVING SEISMIC RESILIENCE OF SCHOOLS</w:t>
      </w:r>
    </w:p>
    <w:p w14:paraId="30BFA263" w14:textId="77777777" w:rsidR="006B338F" w:rsidRPr="00220EBB" w:rsidRDefault="006B338F" w:rsidP="00035A29">
      <w:pPr>
        <w:pStyle w:val="NormalWeb"/>
        <w:spacing w:before="0" w:beforeAutospacing="0" w:after="150" w:afterAutospacing="0"/>
        <w:jc w:val="center"/>
        <w:rPr>
          <w:rStyle w:val="Gl"/>
          <w:b w:val="0"/>
          <w:bCs w:val="0"/>
        </w:rPr>
      </w:pPr>
      <w:proofErr w:type="spellStart"/>
      <w:r w:rsidRPr="00220EBB">
        <w:rPr>
          <w:b/>
          <w:bCs/>
        </w:rPr>
        <w:t>L</w:t>
      </w:r>
      <w:r w:rsidRPr="00220EBB">
        <w:rPr>
          <w:rStyle w:val="Gl"/>
          <w:color w:val="333333"/>
        </w:rPr>
        <w:t>oan</w:t>
      </w:r>
      <w:proofErr w:type="spellEnd"/>
      <w:r w:rsidRPr="00220EBB">
        <w:rPr>
          <w:rStyle w:val="Gl"/>
          <w:color w:val="333333"/>
        </w:rPr>
        <w:t xml:space="preserve"> No: </w:t>
      </w:r>
      <w:r w:rsidRPr="00220EBB">
        <w:rPr>
          <w:rStyle w:val="Gl"/>
          <w:bCs w:val="0"/>
          <w:color w:val="333333"/>
        </w:rPr>
        <w:t>8977-TR</w:t>
      </w:r>
    </w:p>
    <w:p w14:paraId="42C59006" w14:textId="77777777" w:rsidR="006B338F" w:rsidRPr="00220EBB" w:rsidRDefault="006B338F" w:rsidP="00035A29">
      <w:pPr>
        <w:pStyle w:val="NormalWeb"/>
        <w:spacing w:before="0" w:beforeAutospacing="0" w:after="150" w:afterAutospacing="0"/>
        <w:jc w:val="center"/>
        <w:rPr>
          <w:rStyle w:val="Gl"/>
          <w:color w:val="333333"/>
        </w:rPr>
      </w:pPr>
    </w:p>
    <w:p w14:paraId="30330AC6" w14:textId="0A9A70D4" w:rsidR="00085F14" w:rsidRPr="00220EBB" w:rsidRDefault="00085F14" w:rsidP="00035A29">
      <w:pPr>
        <w:pStyle w:val="NormalWeb"/>
        <w:spacing w:before="0" w:beforeAutospacing="0" w:after="150" w:afterAutospacing="0"/>
        <w:jc w:val="center"/>
        <w:rPr>
          <w:color w:val="333333"/>
        </w:rPr>
      </w:pPr>
      <w:proofErr w:type="spellStart"/>
      <w:r w:rsidRPr="00220EBB">
        <w:rPr>
          <w:rStyle w:val="Gl"/>
          <w:color w:val="333333"/>
        </w:rPr>
        <w:t>Assignment</w:t>
      </w:r>
      <w:proofErr w:type="spellEnd"/>
      <w:r w:rsidRPr="00220EBB">
        <w:rPr>
          <w:rStyle w:val="Gl"/>
          <w:color w:val="333333"/>
        </w:rPr>
        <w:t xml:space="preserve"> </w:t>
      </w:r>
      <w:proofErr w:type="spellStart"/>
      <w:r w:rsidRPr="00220EBB">
        <w:rPr>
          <w:rStyle w:val="Gl"/>
          <w:color w:val="333333"/>
        </w:rPr>
        <w:t>Title</w:t>
      </w:r>
      <w:proofErr w:type="spellEnd"/>
      <w:r w:rsidRPr="00220EBB">
        <w:rPr>
          <w:rStyle w:val="Gl"/>
          <w:color w:val="333333"/>
        </w:rPr>
        <w:t>: </w:t>
      </w:r>
      <w:proofErr w:type="spellStart"/>
      <w:r w:rsidRPr="00220EBB">
        <w:rPr>
          <w:color w:val="333333"/>
        </w:rPr>
        <w:t>Consultancy</w:t>
      </w:r>
      <w:proofErr w:type="spellEnd"/>
      <w:r w:rsidRPr="00220EBB">
        <w:rPr>
          <w:color w:val="333333"/>
        </w:rPr>
        <w:t xml:space="preserve"> Services </w:t>
      </w:r>
      <w:proofErr w:type="spellStart"/>
      <w:r w:rsidRPr="00220EBB">
        <w:rPr>
          <w:color w:val="333333"/>
        </w:rPr>
        <w:t>for</w:t>
      </w:r>
      <w:proofErr w:type="spellEnd"/>
      <w:r w:rsidRPr="00220EBB">
        <w:rPr>
          <w:color w:val="333333"/>
        </w:rPr>
        <w:t xml:space="preserve"> </w:t>
      </w:r>
      <w:proofErr w:type="spellStart"/>
      <w:r w:rsidR="008120E7" w:rsidRPr="00220EBB">
        <w:rPr>
          <w:color w:val="333333"/>
        </w:rPr>
        <w:t>Reconstruction</w:t>
      </w:r>
      <w:proofErr w:type="spellEnd"/>
      <w:r w:rsidR="00697E17" w:rsidRPr="00220EBB">
        <w:rPr>
          <w:color w:val="333333"/>
        </w:rPr>
        <w:t xml:space="preserve"> Design</w:t>
      </w:r>
      <w:r w:rsidR="0080777A" w:rsidRPr="00220EBB">
        <w:rPr>
          <w:color w:val="333333"/>
        </w:rPr>
        <w:t xml:space="preserve"> </w:t>
      </w:r>
      <w:r w:rsidR="006B338F" w:rsidRPr="00220EBB">
        <w:rPr>
          <w:bCs/>
        </w:rPr>
        <w:t xml:space="preserve">&amp; </w:t>
      </w:r>
      <w:proofErr w:type="spellStart"/>
      <w:r w:rsidR="006B338F" w:rsidRPr="00220EBB">
        <w:rPr>
          <w:bCs/>
        </w:rPr>
        <w:t>Supervision</w:t>
      </w:r>
      <w:proofErr w:type="spellEnd"/>
      <w:r w:rsidR="006B338F" w:rsidRPr="00220EBB">
        <w:rPr>
          <w:bCs/>
        </w:rPr>
        <w:t xml:space="preserve"> of </w:t>
      </w:r>
      <w:proofErr w:type="spellStart"/>
      <w:r w:rsidR="006B338F" w:rsidRPr="00220EBB">
        <w:rPr>
          <w:bCs/>
        </w:rPr>
        <w:t>Educational</w:t>
      </w:r>
      <w:proofErr w:type="spellEnd"/>
      <w:r w:rsidR="006B338F" w:rsidRPr="00220EBB">
        <w:rPr>
          <w:bCs/>
        </w:rPr>
        <w:t xml:space="preserve"> </w:t>
      </w:r>
      <w:proofErr w:type="spellStart"/>
      <w:r w:rsidR="006B338F" w:rsidRPr="00220EBB">
        <w:rPr>
          <w:bCs/>
        </w:rPr>
        <w:t>Buildings</w:t>
      </w:r>
      <w:proofErr w:type="spellEnd"/>
    </w:p>
    <w:p w14:paraId="4639DD74" w14:textId="195520BC" w:rsidR="00001184" w:rsidRPr="00220EBB" w:rsidRDefault="00001184" w:rsidP="00001184">
      <w:pPr>
        <w:pStyle w:val="NormalWeb"/>
        <w:spacing w:before="0" w:beforeAutospacing="0" w:after="150" w:afterAutospacing="0"/>
        <w:rPr>
          <w:color w:val="333333"/>
        </w:rPr>
      </w:pPr>
      <w:r w:rsidRPr="00220EBB">
        <w:rPr>
          <w:b/>
          <w:color w:val="333333"/>
        </w:rPr>
        <w:t>GROUP-</w:t>
      </w:r>
      <w:r w:rsidR="00CD0EA8" w:rsidRPr="00220EBB">
        <w:rPr>
          <w:b/>
          <w:color w:val="333333"/>
        </w:rPr>
        <w:t>1</w:t>
      </w:r>
      <w:r w:rsidRPr="00220EBB">
        <w:rPr>
          <w:color w:val="333333"/>
        </w:rPr>
        <w:t xml:space="preserve">: </w:t>
      </w:r>
      <w:r w:rsidR="0074176F" w:rsidRPr="00220EBB">
        <w:rPr>
          <w:color w:val="333333"/>
        </w:rPr>
        <w:t>NDRM1-WB-DH-0</w:t>
      </w:r>
      <w:r w:rsidR="00C52316">
        <w:rPr>
          <w:color w:val="333333"/>
        </w:rPr>
        <w:t>5</w:t>
      </w:r>
      <w:r w:rsidR="00FC28F9" w:rsidRPr="00220EBB">
        <w:rPr>
          <w:color w:val="333333"/>
        </w:rPr>
        <w:t>-</w:t>
      </w:r>
      <w:r w:rsidR="008120E7" w:rsidRPr="00220EBB">
        <w:rPr>
          <w:color w:val="333333"/>
        </w:rPr>
        <w:t>İzmir</w:t>
      </w:r>
      <w:r w:rsidR="00363584">
        <w:rPr>
          <w:color w:val="333333"/>
        </w:rPr>
        <w:t xml:space="preserve"> (10 </w:t>
      </w:r>
      <w:proofErr w:type="spellStart"/>
      <w:r w:rsidR="00363584">
        <w:rPr>
          <w:color w:val="333333"/>
        </w:rPr>
        <w:t>schools</w:t>
      </w:r>
      <w:proofErr w:type="spellEnd"/>
      <w:r w:rsidR="00363584">
        <w:rPr>
          <w:color w:val="333333"/>
        </w:rPr>
        <w:t>)</w:t>
      </w:r>
    </w:p>
    <w:p w14:paraId="1C3FAE31" w14:textId="77777777" w:rsidR="00363584" w:rsidRDefault="00363584" w:rsidP="0036358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received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loan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an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amount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USD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300,000,000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International Bank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Development (IBRD)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towards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Disaster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Risk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Mitigation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Schools Project (DRMIS)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implemented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Directorate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Construction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Real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Estate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under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Ministry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).</w:t>
      </w:r>
    </w:p>
    <w:p w14:paraId="5948C033" w14:textId="52427060" w:rsidR="00085F14" w:rsidRPr="00035A29" w:rsidRDefault="00B721B9" w:rsidP="00B721B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intends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proceeds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loan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eligible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payments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(“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Services”)</w:t>
      </w:r>
      <w:r w:rsid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="00363584" w:rsidRPr="00363584"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Scope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cover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</w:t>
      </w:r>
      <w:proofErr w:type="spellEnd"/>
      <w:r w:rsid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supervision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school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buildings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located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Izmir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province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</w:t>
      </w:r>
      <w:r w:rsid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constructed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Services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include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two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phases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one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studies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other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supervision</w:t>
      </w:r>
      <w:proofErr w:type="spellEnd"/>
      <w:r w:rsidR="00363584" w:rsidRPr="0036358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</w:p>
    <w:p w14:paraId="035B191E" w14:textId="47AEF5E0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estimated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duration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r w:rsidR="0089091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</w:t>
      </w:r>
      <w:r w:rsidR="006647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</w:t>
      </w: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="008120E7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thirty-</w:t>
      </w:r>
      <w:r w:rsidR="006647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five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calendar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months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including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supervision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Defects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Liability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Period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which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12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months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5E81B73C" w14:textId="57707CC4" w:rsidR="0074176F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detailed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Terms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Reference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above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can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reached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at </w:t>
      </w:r>
      <w:hyperlink r:id="rId5" w:history="1">
        <w:r w:rsidR="0074176F" w:rsidRPr="00220EB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https://iedb.meb.gov.tr/www/Duyurular/kategori/2</w:t>
        </w:r>
      </w:hyperlink>
    </w:p>
    <w:p w14:paraId="0724122C" w14:textId="315F5290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now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invites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eligible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firms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(“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”)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indicate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Services.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demonstrating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qualifications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relevant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perform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Services.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evidence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related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similar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(i)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client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contact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; (ii)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source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; (iii)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contract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amount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scope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; (iv)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commencement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completion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shortlisting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criteria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</w:p>
    <w:p w14:paraId="431CA810" w14:textId="77777777" w:rsidR="00B81664" w:rsidRDefault="00B81664" w:rsidP="00B81664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buildings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years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</w:p>
    <w:p w14:paraId="61254A3E" w14:textId="500E3BFC" w:rsidR="001337B9" w:rsidRPr="001337B9" w:rsidRDefault="001337B9" w:rsidP="00035A29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(a)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preparation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(b)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supervision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school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buildings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hospitals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dormitories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administrative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buildings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have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been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reconstructed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(at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least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an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area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200,000 m2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under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at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most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contracts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within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last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10 </w:t>
      </w:r>
      <w:proofErr w:type="spellStart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ears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forward</w:t>
      </w:r>
      <w:proofErr w:type="spellEnd"/>
      <w:r w:rsidRP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</w:p>
    <w:p w14:paraId="401E4ABA" w14:textId="7411E5EF" w:rsidR="001337B9" w:rsidRDefault="001337B9" w:rsidP="00035A29">
      <w:pPr>
        <w:pStyle w:val="ListeParagraf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4E6DA506" w14:textId="77777777" w:rsidR="001337B9" w:rsidRDefault="001337B9" w:rsidP="001337B9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Experience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(a)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(b)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construction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supervision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buildings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efficiency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related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preperation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energy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audits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/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energy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identity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certificate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LEED</w:t>
      </w:r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BREEAM</w:t>
      </w:r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HQE, DGNB, BEPTR</w:t>
      </w:r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etc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an </w:t>
      </w:r>
      <w:proofErr w:type="spellStart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asset</w:t>
      </w:r>
      <w:proofErr w:type="spellEnd"/>
      <w:r w:rsidRPr="00B116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carried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within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last</w:t>
      </w:r>
      <w:proofErr w:type="spellEnd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5 </w:t>
      </w:r>
      <w:proofErr w:type="spellStart"/>
      <w:r w:rsidRPr="000F21F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years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forward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</w:p>
    <w:p w14:paraId="1C9ED10A" w14:textId="77777777" w:rsidR="001337B9" w:rsidRPr="00015D7A" w:rsidRDefault="001337B9" w:rsidP="001337B9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Staff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capacity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availability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appropriate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skills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among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key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personnel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related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above</w:t>
      </w:r>
      <w:proofErr w:type="spellEnd"/>
      <w:r w:rsidRPr="00015D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14:paraId="191485D2" w14:textId="77777777" w:rsidR="001337B9" w:rsidRDefault="00B81664" w:rsidP="00035A29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projects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financed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international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financing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institutions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organizations</w:t>
      </w:r>
      <w:proofErr w:type="spellEnd"/>
    </w:p>
    <w:p w14:paraId="5EC8BDA7" w14:textId="77777777" w:rsidR="001337B9" w:rsidRDefault="001337B9" w:rsidP="001337B9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Having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non-performing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contracts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/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disputes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Ministry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National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Education</w:t>
      </w:r>
      <w:proofErr w:type="spellEnd"/>
      <w:r w:rsidRPr="00214F5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14:paraId="7D7BE34E" w14:textId="1B0D0F79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selected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accordance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Consultant’s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Qualification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–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Selection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(CQS)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method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set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out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World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Bank's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Procurement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Regulations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IPF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Borrowers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Procurement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Investment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Project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Goods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Works,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Non-Consulting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Services)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July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2016,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November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2017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August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2018).</w:t>
      </w:r>
    </w:p>
    <w:p w14:paraId="14CC26A4" w14:textId="77777777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associate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other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firms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form of a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joint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venture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consultancy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enhance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qualifications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case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a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Joint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Venture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(JV),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JV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evaluated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jointly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purpose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short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listing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jointly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severally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liable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sign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contract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jointly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case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award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made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JV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group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clearly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indicate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composition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"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association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",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role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each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partners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lead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sub-consultants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application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Unclear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terms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"in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association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"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/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"in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affiliation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"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etc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without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indicating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status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partnership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designation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lead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partner</w:t>
      </w:r>
      <w:proofErr w:type="gram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short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listing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full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commercial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names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country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specified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76F32C6E" w14:textId="77777777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attention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drawn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paragraph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3.17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Procurement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Regulations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IPF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Borrowers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Procurement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Investment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Project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Goods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Works,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Non-Consulting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Services)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July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2016,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November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2017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August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2018),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setting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World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Bank's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conflict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69FC6368" w14:textId="77777777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specific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(RFEOI) is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published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simultaneously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RFEOIs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similar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services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under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same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Project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</w:p>
    <w:p w14:paraId="0D4AE2E6" w14:textId="1D67A34C" w:rsidR="00683CBB" w:rsidRPr="00220EBB" w:rsidRDefault="00036DF3" w:rsidP="00036DF3">
      <w:pPr>
        <w:pStyle w:val="NormalWeb"/>
        <w:spacing w:before="0" w:beforeAutospacing="0" w:after="150" w:afterAutospacing="0"/>
        <w:rPr>
          <w:color w:val="333333"/>
        </w:rPr>
      </w:pPr>
      <w:r w:rsidRPr="00220EBB">
        <w:rPr>
          <w:color w:val="333333"/>
        </w:rPr>
        <w:t xml:space="preserve">Reference No. </w:t>
      </w:r>
      <w:r w:rsidRPr="00220EBB">
        <w:rPr>
          <w:b/>
          <w:color w:val="333333"/>
        </w:rPr>
        <w:t>GROUP-</w:t>
      </w:r>
      <w:r w:rsidR="00CD0EA8" w:rsidRPr="00220EBB">
        <w:rPr>
          <w:b/>
          <w:color w:val="333333"/>
        </w:rPr>
        <w:t>1</w:t>
      </w:r>
      <w:r w:rsidRPr="00220EBB">
        <w:rPr>
          <w:color w:val="333333"/>
        </w:rPr>
        <w:t xml:space="preserve">: </w:t>
      </w:r>
      <w:r w:rsidR="00683CBB" w:rsidRPr="00220EBB">
        <w:rPr>
          <w:color w:val="333333"/>
        </w:rPr>
        <w:t>NDRM1-WB-DH-0</w:t>
      </w:r>
      <w:r w:rsidR="00EA491C">
        <w:rPr>
          <w:color w:val="333333"/>
        </w:rPr>
        <w:t>4</w:t>
      </w:r>
    </w:p>
    <w:p w14:paraId="48F1C251" w14:textId="3FA5347F" w:rsidR="00683CBB" w:rsidRPr="00220EBB" w:rsidRDefault="00036DF3" w:rsidP="00683CBB">
      <w:pPr>
        <w:pStyle w:val="NormalWeb"/>
        <w:spacing w:before="0" w:beforeAutospacing="0" w:after="150" w:afterAutospacing="0"/>
        <w:rPr>
          <w:color w:val="333333"/>
        </w:rPr>
      </w:pPr>
      <w:r w:rsidRPr="00220EBB">
        <w:rPr>
          <w:color w:val="333333"/>
        </w:rPr>
        <w:t xml:space="preserve">Reference No. </w:t>
      </w:r>
      <w:r w:rsidRPr="00220EBB">
        <w:rPr>
          <w:b/>
          <w:color w:val="333333"/>
        </w:rPr>
        <w:t>GROUP-</w:t>
      </w:r>
      <w:r w:rsidR="00CD0EA8" w:rsidRPr="00220EBB">
        <w:rPr>
          <w:b/>
          <w:color w:val="333333"/>
        </w:rPr>
        <w:t>2</w:t>
      </w:r>
      <w:r w:rsidRPr="00220EBB">
        <w:rPr>
          <w:color w:val="333333"/>
        </w:rPr>
        <w:t>:</w:t>
      </w:r>
      <w:r w:rsidR="008120E7" w:rsidRPr="00220EBB">
        <w:rPr>
          <w:color w:val="333333"/>
        </w:rPr>
        <w:t xml:space="preserve"> </w:t>
      </w:r>
      <w:r w:rsidR="00683CBB" w:rsidRPr="00220EBB">
        <w:rPr>
          <w:color w:val="333333"/>
        </w:rPr>
        <w:t>NDRM1-WB-DH-0</w:t>
      </w:r>
      <w:r w:rsidR="00EA491C">
        <w:rPr>
          <w:color w:val="333333"/>
        </w:rPr>
        <w:t>5</w:t>
      </w:r>
      <w:r w:rsidR="00683CBB" w:rsidRPr="00220EBB">
        <w:rPr>
          <w:color w:val="333333"/>
        </w:rPr>
        <w:t xml:space="preserve"> </w:t>
      </w:r>
    </w:p>
    <w:p w14:paraId="70477F5F" w14:textId="7DB87730" w:rsidR="00001184" w:rsidRPr="00220EBB" w:rsidRDefault="00B301FC" w:rsidP="00683CBB">
      <w:pPr>
        <w:pStyle w:val="NormalWeb"/>
        <w:spacing w:before="0" w:beforeAutospacing="0" w:after="150" w:afterAutospacing="0"/>
        <w:rPr>
          <w:color w:val="333333"/>
        </w:rPr>
      </w:pPr>
      <w:proofErr w:type="spellStart"/>
      <w:r w:rsidRPr="00220EBB">
        <w:rPr>
          <w:color w:val="333333"/>
        </w:rPr>
        <w:t>The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Consultants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are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free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to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express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interest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for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one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or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more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assignments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provided</w:t>
      </w:r>
      <w:proofErr w:type="spellEnd"/>
      <w:r w:rsidRPr="00220EBB">
        <w:rPr>
          <w:color w:val="333333"/>
        </w:rPr>
        <w:t xml:space="preserve"> </w:t>
      </w:r>
      <w:proofErr w:type="spellStart"/>
      <w:r w:rsidRPr="00220EBB">
        <w:rPr>
          <w:color w:val="333333"/>
        </w:rPr>
        <w:t>above</w:t>
      </w:r>
      <w:proofErr w:type="spellEnd"/>
      <w:r w:rsidRPr="00220EBB">
        <w:rPr>
          <w:color w:val="333333"/>
        </w:rPr>
        <w:t>.</w:t>
      </w:r>
    </w:p>
    <w:p w14:paraId="01EE639D" w14:textId="7C42C7C6" w:rsidR="00B301FC" w:rsidRPr="00220EBB" w:rsidRDefault="00001184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acknowledge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shall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establish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single</w:t>
      </w:r>
      <w:proofErr w:type="spell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longlist</w:t>
      </w:r>
      <w:proofErr w:type="spell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120E7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</w:t>
      </w:r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group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consultancy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contract</w:t>
      </w:r>
      <w:r w:rsidR="001337B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</w:t>
      </w:r>
      <w:proofErr w:type="spellEnd"/>
      <w:r w:rsidR="000E6D7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including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those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expressed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specific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RFEOI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other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RFEOI.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After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evaluating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relevant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qualifications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select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Consultant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best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qualifications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experience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invite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it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its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technical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financial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proposals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negotiations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relevant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</w:t>
      </w:r>
      <w:proofErr w:type="spellEnd"/>
      <w:r w:rsidR="00B301FC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31703A81" w14:textId="77777777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proofErr w:type="spellStart"/>
      <w:proofErr w:type="gram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case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more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one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indicate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letters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which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specifying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above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mentioned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Reference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No.s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do not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separate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files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each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Reference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which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composition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same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proofErr w:type="gramEnd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has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right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decide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which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assignment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(s)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technical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financial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proposals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negotiations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Firms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’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overall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capacity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perform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multiple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concurrent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contracts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will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be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assessed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before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including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it in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more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than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one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selection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as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per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paragraph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2.8</w:t>
      </w:r>
      <w:proofErr w:type="gram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 xml:space="preserve"> Consultant </w:t>
      </w:r>
      <w:proofErr w:type="spellStart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Guidelines</w:t>
      </w:r>
      <w:proofErr w:type="spellEnd"/>
      <w:r w:rsidR="00406EE1" w:rsidRPr="00220EB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C37DD9D" w14:textId="2F9B2E0E" w:rsidR="00B301FC" w:rsidRPr="00220EBB" w:rsidRDefault="00B301FC" w:rsidP="00B301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Due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limitations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caused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COVID 19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pandemic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consultants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obtain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further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406EE1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MoNE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through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e-mail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address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provided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below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during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office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hours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C6128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10</w:t>
      </w: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.00 am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</w:t>
      </w:r>
      <w:r w:rsidR="005C6128"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</w:t>
      </w:r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.00 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hours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Turkey</w:t>
      </w:r>
      <w:proofErr w:type="spellEnd"/>
      <w:r w:rsidRPr="00220EB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time).</w:t>
      </w:r>
    </w:p>
    <w:p w14:paraId="16D12691" w14:textId="0B32B949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/s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delivered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address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August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09, 2021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until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15:00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hours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time.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Expressions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delivered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electronically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address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deadline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specified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69A013A4" w14:textId="77777777" w:rsidR="00DB711F" w:rsidRDefault="00DB711F" w:rsidP="00DB71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deemed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Administration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request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Turkish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Digital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entire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tender file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Bidder</w:t>
      </w:r>
      <w:proofErr w:type="spellEnd"/>
    </w:p>
    <w:p w14:paraId="3CD58E5A" w14:textId="77777777" w:rsidR="00DB711F" w:rsidRDefault="00DB711F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bookmarkStart w:id="0" w:name="_GoBack"/>
      <w:bookmarkEnd w:id="0"/>
    </w:p>
    <w:p w14:paraId="70C1588C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MINISTRY OF NATIONAL EDUCATION</w:t>
      </w:r>
    </w:p>
    <w:p w14:paraId="446EE4D3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General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Directorate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of Construction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Real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Estate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</w:p>
    <w:p w14:paraId="6D4D5721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Attention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Fatih Mehmet ORUÇ</w:t>
      </w:r>
    </w:p>
    <w:p w14:paraId="4B147D15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Director</w:t>
      </w:r>
      <w:proofErr w:type="spellEnd"/>
    </w:p>
    <w:p w14:paraId="6C0F5E46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Address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 </w:t>
      </w:r>
      <w:r>
        <w:rPr>
          <w:rFonts w:ascii="Times New Roman" w:eastAsiaTheme="minorEastAsia" w:hAnsi="Times New Roman" w:cs="Times New Roman"/>
          <w:b/>
          <w:spacing w:val="-2"/>
          <w:lang w:eastAsia="tr-TR"/>
        </w:rPr>
        <w:t xml:space="preserve">MEB </w:t>
      </w:r>
      <w:proofErr w:type="spellStart"/>
      <w:r>
        <w:rPr>
          <w:rFonts w:ascii="Times New Roman" w:eastAsiaTheme="minorEastAsia" w:hAnsi="Times New Roman" w:cs="Times New Roman"/>
          <w:b/>
          <w:spacing w:val="-2"/>
          <w:lang w:eastAsia="tr-TR"/>
        </w:rPr>
        <w:t>Beşevler</w:t>
      </w:r>
      <w:proofErr w:type="spellEnd"/>
      <w:r>
        <w:rPr>
          <w:rFonts w:ascii="Times New Roman" w:eastAsiaTheme="minorEastAsia" w:hAnsi="Times New Roman" w:cs="Times New Roman"/>
          <w:b/>
          <w:spacing w:val="-2"/>
          <w:lang w:eastAsia="tr-TR"/>
        </w:rPr>
        <w:t xml:space="preserve"> Kampüsü 06500, </w:t>
      </w:r>
      <w:proofErr w:type="spellStart"/>
      <w:r>
        <w:rPr>
          <w:rFonts w:ascii="Times New Roman" w:eastAsiaTheme="minorEastAsia" w:hAnsi="Times New Roman" w:cs="Times New Roman"/>
          <w:b/>
          <w:spacing w:val="-2"/>
          <w:lang w:eastAsia="tr-TR"/>
        </w:rPr>
        <w:t>Beşevler</w:t>
      </w:r>
      <w:proofErr w:type="spellEnd"/>
      <w:r>
        <w:rPr>
          <w:rFonts w:ascii="Times New Roman" w:eastAsiaTheme="minorEastAsia" w:hAnsi="Times New Roman" w:cs="Times New Roman"/>
          <w:b/>
          <w:spacing w:val="-2"/>
          <w:lang w:eastAsia="tr-TR"/>
        </w:rPr>
        <w:t>, Ankara, Türkiye</w:t>
      </w:r>
    </w:p>
    <w:p w14:paraId="24A0A6DB" w14:textId="77777777" w:rsidR="00FF6A9C" w:rsidRDefault="00FF6A9C" w:rsidP="00FF6A9C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eastAsiaTheme="minorEastAsia" w:hAnsi="Times New Roman" w:cs="Times New Roman"/>
          <w:b/>
          <w:spacing w:val="-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Tel      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b/>
          <w:spacing w:val="-2"/>
          <w:lang w:eastAsia="tr-TR"/>
        </w:rPr>
        <w:t>+90 (312) 413 31 32</w:t>
      </w:r>
    </w:p>
    <w:p w14:paraId="422DEA1D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767B2A1B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Fax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    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b/>
          <w:spacing w:val="-2"/>
          <w:lang w:eastAsia="tr-TR"/>
        </w:rPr>
        <w:t>+90 (312) 2138346</w:t>
      </w:r>
    </w:p>
    <w:p w14:paraId="6E0B4A43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mail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b/>
          <w:spacing w:val="-2"/>
          <w:lang w:eastAsia="tr-TR"/>
        </w:rPr>
        <w:t>iedb</w:t>
      </w:r>
      <w:proofErr w:type="gramEnd"/>
      <w:r>
        <w:rPr>
          <w:rFonts w:ascii="Times New Roman" w:eastAsiaTheme="minorEastAsia" w:hAnsi="Times New Roman" w:cs="Times New Roman"/>
          <w:b/>
          <w:spacing w:val="-2"/>
          <w:lang w:eastAsia="tr-TR"/>
        </w:rPr>
        <w:t>_guvenliokullar@meb.gov.tr</w:t>
      </w:r>
    </w:p>
    <w:p w14:paraId="422CE14E" w14:textId="77777777" w:rsidR="00FF6A9C" w:rsidRDefault="00FF6A9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Web    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http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://iegm.meb.gov.tr/www/duyurular/kategori/2</w:t>
      </w:r>
    </w:p>
    <w:p w14:paraId="5C6C7785" w14:textId="5AA5699A" w:rsidR="00B301FC" w:rsidRPr="00220EBB" w:rsidRDefault="00B301FC" w:rsidP="00FF6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sectPr w:rsidR="00B301FC" w:rsidRPr="0022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788"/>
    <w:multiLevelType w:val="hybridMultilevel"/>
    <w:tmpl w:val="FD88DA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953BC"/>
    <w:multiLevelType w:val="multilevel"/>
    <w:tmpl w:val="1868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A52B5"/>
    <w:multiLevelType w:val="multilevel"/>
    <w:tmpl w:val="48CC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E7337"/>
    <w:multiLevelType w:val="multilevel"/>
    <w:tmpl w:val="C15A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7046F"/>
    <w:multiLevelType w:val="hybridMultilevel"/>
    <w:tmpl w:val="027E107C"/>
    <w:lvl w:ilvl="0" w:tplc="C8309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66118"/>
    <w:multiLevelType w:val="multilevel"/>
    <w:tmpl w:val="616A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C262D"/>
    <w:multiLevelType w:val="multilevel"/>
    <w:tmpl w:val="771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F17E2"/>
    <w:multiLevelType w:val="hybridMultilevel"/>
    <w:tmpl w:val="C94C000C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76B94"/>
    <w:multiLevelType w:val="multilevel"/>
    <w:tmpl w:val="AD38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968B5"/>
    <w:multiLevelType w:val="multilevel"/>
    <w:tmpl w:val="5864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6A"/>
    <w:rsid w:val="00001184"/>
    <w:rsid w:val="00035A29"/>
    <w:rsid w:val="00036DF3"/>
    <w:rsid w:val="00085F14"/>
    <w:rsid w:val="000E6D7E"/>
    <w:rsid w:val="001337B9"/>
    <w:rsid w:val="00220EBB"/>
    <w:rsid w:val="002358E9"/>
    <w:rsid w:val="002F6B63"/>
    <w:rsid w:val="003370C1"/>
    <w:rsid w:val="00363584"/>
    <w:rsid w:val="00406EE1"/>
    <w:rsid w:val="004A12D1"/>
    <w:rsid w:val="005C6128"/>
    <w:rsid w:val="00602E6C"/>
    <w:rsid w:val="00664731"/>
    <w:rsid w:val="00683CBB"/>
    <w:rsid w:val="00697E17"/>
    <w:rsid w:val="006A608B"/>
    <w:rsid w:val="006B338F"/>
    <w:rsid w:val="00724369"/>
    <w:rsid w:val="0074176F"/>
    <w:rsid w:val="0080777A"/>
    <w:rsid w:val="008120E7"/>
    <w:rsid w:val="0089091C"/>
    <w:rsid w:val="00967E7F"/>
    <w:rsid w:val="0098155F"/>
    <w:rsid w:val="00B301FC"/>
    <w:rsid w:val="00B54273"/>
    <w:rsid w:val="00B721B9"/>
    <w:rsid w:val="00B81664"/>
    <w:rsid w:val="00C52316"/>
    <w:rsid w:val="00C87B6A"/>
    <w:rsid w:val="00CD0EA8"/>
    <w:rsid w:val="00D97D6F"/>
    <w:rsid w:val="00DB711F"/>
    <w:rsid w:val="00EA491C"/>
    <w:rsid w:val="00FC28F9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E208"/>
  <w15:chartTrackingRefBased/>
  <w15:docId w15:val="{2B9A2E39-2CEE-48A0-966C-D5818D7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338F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6B63"/>
    <w:rPr>
      <w:b/>
      <w:bCs/>
    </w:rPr>
  </w:style>
  <w:style w:type="character" w:styleId="Kpr">
    <w:name w:val="Hyperlink"/>
    <w:basedOn w:val="VarsaylanParagrafYazTipi"/>
    <w:uiPriority w:val="99"/>
    <w:unhideWhenUsed/>
    <w:rsid w:val="002F6B6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F6B63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6B338F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58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8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edb.meb.gov.tr/www/Duyurular/kategori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 Mehmet KULOGLU</dc:creator>
  <cp:keywords/>
  <dc:description/>
  <cp:lastModifiedBy>Haci Mehmet KULOGLU</cp:lastModifiedBy>
  <cp:revision>6</cp:revision>
  <dcterms:created xsi:type="dcterms:W3CDTF">2021-07-13T20:59:00Z</dcterms:created>
  <dcterms:modified xsi:type="dcterms:W3CDTF">2021-07-14T10:48:00Z</dcterms:modified>
</cp:coreProperties>
</file>